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70" w:rsidRDefault="00561D70" w:rsidP="00561D70">
      <w:pPr>
        <w:numPr>
          <w:ilvl w:val="0"/>
          <w:numId w:val="1"/>
        </w:numPr>
        <w:rPr>
          <w:b/>
          <w:bCs/>
        </w:rPr>
      </w:pPr>
      <w:bookmarkStart w:id="0" w:name="_Toc214783691"/>
      <w:bookmarkStart w:id="1" w:name="_Toc216514669"/>
      <w:r w:rsidRPr="00561D70">
        <w:rPr>
          <w:b/>
          <w:bCs/>
        </w:rPr>
        <w:t>Business Case</w:t>
      </w:r>
      <w:bookmarkEnd w:id="0"/>
      <w:bookmarkEnd w:id="1"/>
    </w:p>
    <w:p w:rsidR="00A242B1" w:rsidRPr="00561D70" w:rsidRDefault="00A242B1" w:rsidP="00A242B1">
      <w:pPr>
        <w:ind w:left="360"/>
        <w:rPr>
          <w:b/>
          <w:bCs/>
        </w:rPr>
      </w:pPr>
    </w:p>
    <w:p w:rsidR="00561D70" w:rsidRDefault="00561D70" w:rsidP="00561D70">
      <w:pPr>
        <w:numPr>
          <w:ilvl w:val="1"/>
          <w:numId w:val="1"/>
        </w:numPr>
        <w:rPr>
          <w:b/>
          <w:bCs/>
        </w:rPr>
      </w:pPr>
      <w:bookmarkStart w:id="2" w:name="_Toc211757755"/>
      <w:bookmarkStart w:id="3" w:name="_Toc214621662"/>
      <w:bookmarkStart w:id="4" w:name="_Toc214783692"/>
      <w:bookmarkStart w:id="5" w:name="_Toc216514670"/>
      <w:r w:rsidRPr="00561D70">
        <w:rPr>
          <w:b/>
          <w:bCs/>
        </w:rPr>
        <w:t>Business Need</w:t>
      </w:r>
      <w:bookmarkEnd w:id="2"/>
      <w:bookmarkEnd w:id="3"/>
      <w:bookmarkEnd w:id="4"/>
      <w:bookmarkEnd w:id="5"/>
    </w:p>
    <w:p w:rsidR="00561D70" w:rsidRPr="00561D70" w:rsidRDefault="00561D70" w:rsidP="00561D70">
      <w:pPr>
        <w:ind w:left="792"/>
        <w:rPr>
          <w:b/>
          <w:bCs/>
        </w:rPr>
      </w:pPr>
    </w:p>
    <w:p w:rsidR="004118DB" w:rsidRDefault="00561D70" w:rsidP="009942EC">
      <w:r w:rsidRPr="00561D70">
        <w:tab/>
      </w:r>
      <w:r w:rsidR="00A242B1">
        <w:t>In today’s world, government, military, commercial, and privately owned facilities require security.  This security often comes in the form of a</w:t>
      </w:r>
      <w:r w:rsidR="00A242B1" w:rsidRPr="006F6CE1">
        <w:t xml:space="preserve">n </w:t>
      </w:r>
      <w:r w:rsidR="00A242B1">
        <w:t>intrusion detection system</w:t>
      </w:r>
      <w:r w:rsidR="00A242B1" w:rsidRPr="006F6CE1">
        <w:t xml:space="preserve"> (or Sensor Suite)</w:t>
      </w:r>
      <w:r w:rsidR="007527DB">
        <w:t>.</w:t>
      </w:r>
      <w:r w:rsidR="007527DB" w:rsidRPr="006F6CE1">
        <w:t xml:space="preserve">  </w:t>
      </w:r>
      <w:r w:rsidR="00A242B1" w:rsidRPr="006F6CE1">
        <w:t xml:space="preserve">The system can provide early warning of impending intrusion or attack, which gives an opportunity for a security team to respond appropriately.  </w:t>
      </w:r>
      <w:r w:rsidR="00A242B1">
        <w:t>I</w:t>
      </w:r>
      <w:r w:rsidR="00A242B1" w:rsidRPr="006F6CE1">
        <w:t xml:space="preserve">n many cases, the </w:t>
      </w:r>
      <w:r w:rsidR="00A242B1">
        <w:t>intrusion detection system</w:t>
      </w:r>
      <w:r w:rsidR="00A242B1" w:rsidRPr="006F6CE1">
        <w:t xml:space="preserve"> is set-up in an ineffective or inefficient configuration, resulting in gaps in surveillance ability and/or unnecessary costs.  </w:t>
      </w:r>
      <w:r w:rsidR="00A242B1">
        <w:t xml:space="preserve">The Sensor Suite Evaluation System (SSES) solves this problem by incorporating data about a particular location, fusing this data with sensor specifications, and calculating a solution for the proper placement, type, and quality of the selected sensors.  </w:t>
      </w:r>
      <w:r w:rsidR="004118DB">
        <w:t xml:space="preserve">Our team brings a wide variety of experience from the private sector, government contracting companies, government civil service, and the military.  </w:t>
      </w:r>
      <w:r w:rsidR="009942EC">
        <w:t>The detection intrusion industry is likely to grow over the next several decades because of the ever-increasing threat of attack against “soft” facilities, particularly facilities of a sensitive nature.  Governmental agencies and private businesses will look to increase security of these facilities while maintaining, or even reducing, overhead costs.  These agencies and businesses will form the core of our customer base.  The SSES is positioned to pioneer the development of intrusion detection evaluation software based on our unique</w:t>
      </w:r>
      <w:r w:rsidR="00BD78B1">
        <w:t xml:space="preserve"> </w:t>
      </w:r>
      <w:r w:rsidR="009942EC">
        <w:t xml:space="preserve">quantitative approach, which removes guesswork and intuition and </w:t>
      </w:r>
      <w:r w:rsidR="004118DB">
        <w:t>replaces it with</w:t>
      </w:r>
      <w:r w:rsidR="009942EC">
        <w:t xml:space="preserve"> data and expertise.  </w:t>
      </w:r>
    </w:p>
    <w:p w:rsidR="00A13D49" w:rsidRDefault="00A13D49" w:rsidP="009942EC"/>
    <w:p w:rsidR="00A242B1" w:rsidRDefault="00A242B1" w:rsidP="00A242B1">
      <w:r w:rsidRPr="009947A8">
        <w:t>Mission</w:t>
      </w:r>
      <w:r>
        <w:t xml:space="preserve"> Statement:  The Sensor Suite Evaluation System (SSES) </w:t>
      </w:r>
      <w:r w:rsidRPr="00F97907">
        <w:t>assists</w:t>
      </w:r>
      <w:r>
        <w:t xml:space="preserve"> government, </w:t>
      </w:r>
      <w:r w:rsidRPr="00DA5FE0">
        <w:t xml:space="preserve">military, </w:t>
      </w:r>
      <w:r w:rsidR="004118DB">
        <w:t>c</w:t>
      </w:r>
      <w:r w:rsidRPr="00DA5FE0">
        <w:t xml:space="preserve">ommercial, and privately owned facilities in the set-up of their intrusion detection systems (composition and location of sensors) to achieve a complete and reliable surveillance using the most cost effective means available.  </w:t>
      </w:r>
    </w:p>
    <w:p w:rsidR="00A242B1" w:rsidRPr="00DA5FE0" w:rsidRDefault="00A242B1" w:rsidP="00A242B1"/>
    <w:p w:rsidR="00561D70" w:rsidRPr="00561D70" w:rsidRDefault="00561D70" w:rsidP="00561D70"/>
    <w:p w:rsidR="00561D70" w:rsidRDefault="00561D70" w:rsidP="00561D70">
      <w:pPr>
        <w:numPr>
          <w:ilvl w:val="1"/>
          <w:numId w:val="1"/>
        </w:numPr>
        <w:rPr>
          <w:b/>
          <w:bCs/>
        </w:rPr>
      </w:pPr>
      <w:bookmarkStart w:id="6" w:name="_Toc214783693"/>
      <w:bookmarkStart w:id="7" w:name="_Toc216514671"/>
      <w:r w:rsidRPr="00561D70">
        <w:rPr>
          <w:b/>
          <w:bCs/>
        </w:rPr>
        <w:t>Marketing Introduction Strategy</w:t>
      </w:r>
      <w:bookmarkEnd w:id="6"/>
      <w:bookmarkEnd w:id="7"/>
    </w:p>
    <w:p w:rsidR="00A242B1" w:rsidRPr="00561D70" w:rsidRDefault="00A242B1" w:rsidP="00A242B1">
      <w:pPr>
        <w:ind w:left="792"/>
        <w:rPr>
          <w:b/>
          <w:bCs/>
        </w:rPr>
      </w:pPr>
    </w:p>
    <w:p w:rsidR="00DC2EF5" w:rsidRDefault="00561D70" w:rsidP="00561D70">
      <w:r w:rsidRPr="00561D70">
        <w:tab/>
      </w:r>
      <w:r w:rsidR="00111CE9">
        <w:t xml:space="preserve">The marketing introduction strategy will occur in 3 phases.  Our first targeted </w:t>
      </w:r>
      <w:r w:rsidR="00DC2EF5">
        <w:t>customers for</w:t>
      </w:r>
      <w:r w:rsidR="00DC2EF5" w:rsidRPr="00561D70">
        <w:t xml:space="preserve"> this product are</w:t>
      </w:r>
      <w:r w:rsidRPr="00561D70">
        <w:t xml:space="preserve"> </w:t>
      </w:r>
      <w:r w:rsidR="00A242B1">
        <w:t>military base camps</w:t>
      </w:r>
      <w:r w:rsidR="007527DB">
        <w:t xml:space="preserve">, small military installations </w:t>
      </w:r>
      <w:r w:rsidR="009942EC">
        <w:t>worldwide</w:t>
      </w:r>
      <w:r w:rsidR="007527DB">
        <w:t>,</w:t>
      </w:r>
      <w:r w:rsidR="00A242B1">
        <w:t xml:space="preserve"> and </w:t>
      </w:r>
      <w:r w:rsidR="007527DB">
        <w:t xml:space="preserve">small </w:t>
      </w:r>
      <w:r w:rsidR="00A242B1">
        <w:t>government facilities</w:t>
      </w:r>
      <w:r w:rsidR="00A242B1" w:rsidRPr="00561D70">
        <w:t xml:space="preserve">.  </w:t>
      </w:r>
      <w:r w:rsidR="00A242B1" w:rsidRPr="007527DB">
        <w:t xml:space="preserve">Future markets will focus on sensitive utility sites such as water treatment facilities, electricity relay stations, </w:t>
      </w:r>
      <w:r w:rsidR="009942EC" w:rsidRPr="007527DB">
        <w:t>nuclear reactors</w:t>
      </w:r>
      <w:r w:rsidR="009942EC">
        <w:t>,</w:t>
      </w:r>
      <w:r w:rsidR="009942EC" w:rsidRPr="007527DB">
        <w:t xml:space="preserve"> </w:t>
      </w:r>
      <w:r w:rsidR="007527DB">
        <w:t xml:space="preserve">airports, seaports, </w:t>
      </w:r>
      <w:r w:rsidR="00A242B1" w:rsidRPr="007527DB">
        <w:t>and</w:t>
      </w:r>
      <w:r w:rsidR="007527DB" w:rsidRPr="007527DB">
        <w:t xml:space="preserve"> other critical infrastructure as identified by Department of Homeland Security and local law enforcement agencies</w:t>
      </w:r>
      <w:r w:rsidR="00A242B1" w:rsidRPr="007527DB">
        <w:t xml:space="preserve">.  </w:t>
      </w:r>
      <w:r w:rsidR="007527DB">
        <w:t xml:space="preserve">Complete market penetration will </w:t>
      </w:r>
      <w:r w:rsidR="009942EC">
        <w:t xml:space="preserve">include private and commercial customers.  </w:t>
      </w:r>
      <w:r w:rsidRPr="007527DB">
        <w:t>Our</w:t>
      </w:r>
      <w:r w:rsidRPr="00561D70">
        <w:t xml:space="preserve"> team will advertise the </w:t>
      </w:r>
      <w:r w:rsidR="00A242B1">
        <w:t>SSES,</w:t>
      </w:r>
      <w:r w:rsidRPr="00561D70">
        <w:t xml:space="preserve"> which will </w:t>
      </w:r>
      <w:r w:rsidR="00A242B1">
        <w:t xml:space="preserve">include an initial site survey, a renewable </w:t>
      </w:r>
      <w:r w:rsidR="007527DB">
        <w:t>license to</w:t>
      </w:r>
      <w:r w:rsidR="00A242B1">
        <w:t xml:space="preserve"> operate the SSES software, access to </w:t>
      </w:r>
      <w:r w:rsidR="007527DB">
        <w:t xml:space="preserve">all </w:t>
      </w:r>
      <w:r w:rsidR="00A242B1">
        <w:t xml:space="preserve">future software updates, and initial training to allow customers to operate the SSES independently.  </w:t>
      </w:r>
      <w:r w:rsidRPr="00561D70">
        <w:t xml:space="preserve">The intent is to provide our customers with </w:t>
      </w:r>
      <w:r w:rsidR="007527DB" w:rsidRPr="00DA5FE0">
        <w:t xml:space="preserve">a new industry standard for user-friendly intrusion detection evaluation software, supported with unparalleled customer service.  </w:t>
      </w:r>
      <w:r w:rsidR="00202EDF">
        <w:t xml:space="preserve">This </w:t>
      </w:r>
      <w:r w:rsidR="00771556">
        <w:t xml:space="preserve">specialized </w:t>
      </w:r>
      <w:r w:rsidR="00202EDF">
        <w:t xml:space="preserve">market segment offers a low-risk opportunity </w:t>
      </w:r>
      <w:r w:rsidR="00E03EEE">
        <w:t xml:space="preserve">for </w:t>
      </w:r>
      <w:r w:rsidR="00E03EEE" w:rsidRPr="00E03EEE">
        <w:t xml:space="preserve">the SSES </w:t>
      </w:r>
      <w:r w:rsidR="00202EDF">
        <w:t xml:space="preserve">to </w:t>
      </w:r>
      <w:r w:rsidR="00E03EEE">
        <w:t xml:space="preserve">be </w:t>
      </w:r>
      <w:r w:rsidR="00202EDF">
        <w:t>introduce</w:t>
      </w:r>
      <w:r w:rsidR="00E03EEE">
        <w:t>d</w:t>
      </w:r>
      <w:r w:rsidR="00202EDF">
        <w:t xml:space="preserve"> while </w:t>
      </w:r>
      <w:r w:rsidR="00E03EEE">
        <w:t>continuing to be</w:t>
      </w:r>
      <w:r w:rsidR="00202EDF">
        <w:t xml:space="preserve"> refine</w:t>
      </w:r>
      <w:r w:rsidR="00E03EEE">
        <w:t>d</w:t>
      </w:r>
      <w:r w:rsidR="00202EDF">
        <w:t xml:space="preserve"> </w:t>
      </w:r>
      <w:r w:rsidR="00E03EEE">
        <w:t xml:space="preserve">for </w:t>
      </w:r>
      <w:r w:rsidR="00202EDF">
        <w:t xml:space="preserve">wider market expansion.  </w:t>
      </w:r>
      <w:r w:rsidR="007527DB">
        <w:t>As o</w:t>
      </w:r>
      <w:r w:rsidRPr="00561D70">
        <w:t xml:space="preserve">ur </w:t>
      </w:r>
      <w:r w:rsidR="007527DB">
        <w:t xml:space="preserve">governmental </w:t>
      </w:r>
      <w:r w:rsidRPr="00561D70">
        <w:t xml:space="preserve">customers </w:t>
      </w:r>
      <w:r w:rsidR="007527DB">
        <w:t xml:space="preserve">gain an appreciation for a more efficient security system, and its associated lower overhead costs, we will begin to lobby </w:t>
      </w:r>
      <w:r w:rsidR="009942EC">
        <w:t xml:space="preserve">Congress </w:t>
      </w:r>
      <w:r w:rsidR="007527DB">
        <w:t xml:space="preserve">for an increased presence throughout all governmental agencies.  </w:t>
      </w:r>
      <w:r w:rsidRPr="00561D70">
        <w:t xml:space="preserve">The </w:t>
      </w:r>
      <w:r w:rsidR="007527DB">
        <w:t>SSE</w:t>
      </w:r>
      <w:r w:rsidRPr="00561D70">
        <w:t xml:space="preserve">S team will develop </w:t>
      </w:r>
      <w:r w:rsidR="007527DB" w:rsidRPr="00561D70">
        <w:t xml:space="preserve">advertisements, put them in </w:t>
      </w:r>
      <w:r w:rsidR="007321B7">
        <w:t>i</w:t>
      </w:r>
      <w:r w:rsidR="007527DB" w:rsidRPr="00561D70">
        <w:t>ndustry magazines and publications,</w:t>
      </w:r>
      <w:r w:rsidR="007527DB">
        <w:t xml:space="preserve"> and</w:t>
      </w:r>
      <w:r w:rsidRPr="00561D70">
        <w:t xml:space="preserve"> participate in DOD</w:t>
      </w:r>
      <w:r w:rsidR="007527DB">
        <w:t>/DHS</w:t>
      </w:r>
      <w:r w:rsidRPr="00561D70">
        <w:t xml:space="preserve"> conferences in order to </w:t>
      </w:r>
      <w:r w:rsidR="00A242B1" w:rsidRPr="00561D70">
        <w:t>highlight</w:t>
      </w:r>
      <w:r w:rsidRPr="00561D70">
        <w:t xml:space="preserve"> </w:t>
      </w:r>
      <w:r w:rsidR="007527DB">
        <w:t>SSES</w:t>
      </w:r>
      <w:r w:rsidRPr="00561D70">
        <w:t xml:space="preserve"> capabilities</w:t>
      </w:r>
      <w:r w:rsidR="00A242B1" w:rsidRPr="00561D70">
        <w:t xml:space="preserve">.  </w:t>
      </w:r>
      <w:r w:rsidRPr="00561D70">
        <w:t xml:space="preserve">The team will make direct </w:t>
      </w:r>
      <w:r w:rsidR="00A13D49">
        <w:t>c</w:t>
      </w:r>
      <w:r w:rsidRPr="00561D70">
        <w:t>ontacts to sale</w:t>
      </w:r>
      <w:r w:rsidR="009942EC">
        <w:t>s</w:t>
      </w:r>
      <w:r w:rsidRPr="00561D70">
        <w:t xml:space="preserve"> prospects in order to explain and demonstrate the system, attract attention, spread word-of-mouth, and obtain customer feedback to better target the sales opportunity and overall market penetration strategy</w:t>
      </w:r>
      <w:r w:rsidR="00A242B1" w:rsidRPr="00561D70">
        <w:t xml:space="preserve">.  </w:t>
      </w:r>
      <w:r w:rsidRPr="00561D70">
        <w:t>Sales proposal requests will be solicited from the prospects.</w:t>
      </w:r>
      <w:r w:rsidR="00DC2EF5">
        <w:t xml:space="preserve">  </w:t>
      </w:r>
    </w:p>
    <w:p w:rsidR="00DC2EF5" w:rsidRDefault="00DC2EF5" w:rsidP="00561D70"/>
    <w:p w:rsidR="008E06DA" w:rsidRDefault="00DC2EF5">
      <w:pPr>
        <w:ind w:firstLine="720"/>
      </w:pPr>
      <w:r>
        <w:lastRenderedPageBreak/>
        <w:t>Currently, there appears to be no other entity that can offer a system to compete with the SSES directly.  Our closest competition is the status quo system of a security expert designing the system manually.  The quantitative approach taken by SSES will yield better-quality results.  Aggressive system refinement and improvement will assure that our system remains technologically superior.</w:t>
      </w:r>
    </w:p>
    <w:p w:rsidR="00DC2EF5" w:rsidRDefault="00DC2EF5" w:rsidP="00561D70"/>
    <w:p w:rsidR="00DC2EF5" w:rsidRDefault="00DC2EF5" w:rsidP="00561D70">
      <w:r>
        <w:tab/>
        <w:t xml:space="preserve">The strategy of offering the SSES as part of a package that includes a software license, an initial site survey, and software computer training is the result of several considerations.  First, the intensive customer-service oriented approach will build an early reputation that will translate to higher growth rates in future years.  Second, given the unique nature of the program, it would not be difficult for a novice used to misuse the program, which </w:t>
      </w:r>
      <w:r w:rsidR="002D77D6">
        <w:t xml:space="preserve">could result in less than optimal results and </w:t>
      </w:r>
      <w:r>
        <w:t xml:space="preserve">would unnecessarily harm the reputation of the SSES.  Finally, </w:t>
      </w:r>
      <w:r w:rsidR="002D77D6">
        <w:t xml:space="preserve">by limiting the license to a relatively small number of users, we increase the chances for larger agencies to give the SSES repeat business.  The option of selling an unlimited license at higher cost, but with only limited customer support was considered, but rejected as being too high risk.  An early failure would devastate future growth, which is </w:t>
      </w:r>
      <w:proofErr w:type="gramStart"/>
      <w:r w:rsidR="002D77D6">
        <w:t>key</w:t>
      </w:r>
      <w:proofErr w:type="gramEnd"/>
      <w:r w:rsidR="002D77D6">
        <w:t xml:space="preserve"> to future net cash flows.</w:t>
      </w:r>
    </w:p>
    <w:p w:rsidR="00111CE9" w:rsidRDefault="00111CE9" w:rsidP="00561D70"/>
    <w:p w:rsidR="00561D70" w:rsidRPr="00561D70" w:rsidRDefault="00561D70" w:rsidP="00561D70">
      <w:pPr>
        <w:numPr>
          <w:ilvl w:val="1"/>
          <w:numId w:val="1"/>
        </w:numPr>
        <w:rPr>
          <w:b/>
          <w:bCs/>
        </w:rPr>
      </w:pPr>
      <w:bookmarkStart w:id="8" w:name="_Toc214621668"/>
      <w:bookmarkStart w:id="9" w:name="_Toc214783694"/>
      <w:bookmarkStart w:id="10" w:name="_Toc216514672"/>
      <w:r w:rsidRPr="00561D70">
        <w:rPr>
          <w:b/>
          <w:bCs/>
        </w:rPr>
        <w:t>Features and Benefits</w:t>
      </w:r>
      <w:bookmarkEnd w:id="8"/>
      <w:bookmarkEnd w:id="9"/>
      <w:bookmarkEnd w:id="10"/>
    </w:p>
    <w:p w:rsidR="00561D70" w:rsidRDefault="00561D70" w:rsidP="00561D70">
      <w:r w:rsidRPr="00561D70">
        <w:t xml:space="preserve">The following are the most important features and benefits of the </w:t>
      </w:r>
      <w:r w:rsidR="0055545D">
        <w:t>SSES</w:t>
      </w:r>
      <w:r w:rsidRPr="00561D70">
        <w:t>:</w:t>
      </w:r>
    </w:p>
    <w:p w:rsidR="00561D70" w:rsidRPr="00561D70" w:rsidRDefault="00561D70" w:rsidP="00561D70"/>
    <w:p w:rsidR="00C1727D" w:rsidRDefault="00C1727D" w:rsidP="00561D70">
      <w:proofErr w:type="gramStart"/>
      <w:r w:rsidRPr="00C1727D">
        <w:rPr>
          <w:b/>
        </w:rPr>
        <w:t>Site Assessment Productivity and Accuracy.</w:t>
      </w:r>
      <w:proofErr w:type="gramEnd"/>
      <w:r>
        <w:t xml:space="preserve">  The SSES begins with an exhaustive terrain mapping</w:t>
      </w:r>
      <w:r w:rsidR="00067DE5">
        <w:t xml:space="preserve"> of the site to be secured, along with the immediate vicinity.  The terrain data is entered into the SSES topographically using DTED data.  Different terrain types, ranging from forest and fields to roads and buildings, are modeled into the terrain data as well, each with its own parameters of movement rates, visibility, and cover and concealment.  Once this data is complete, the site exists in the SSES as a digital model in which sensors can be placed and evaluated.  The model can also be updated should surrounding terrain be physically altered.</w:t>
      </w:r>
    </w:p>
    <w:p w:rsidR="00C1727D" w:rsidRDefault="00C1727D" w:rsidP="00561D70"/>
    <w:p w:rsidR="00C1727D" w:rsidRDefault="00C1727D" w:rsidP="00561D70">
      <w:r w:rsidRPr="00C1727D">
        <w:rPr>
          <w:b/>
        </w:rPr>
        <w:t>Complete catalog of existing sensors.</w:t>
      </w:r>
      <w:r>
        <w:t xml:space="preserve">  The SSES team has gathered a wide array of existing sensors and their specifications</w:t>
      </w:r>
      <w:r w:rsidR="00067DE5">
        <w:t xml:space="preserve"> and prices and has catalogued them into a single database.  The SSES will examine the different sensors types when evaluating different array possibilities.</w:t>
      </w:r>
    </w:p>
    <w:p w:rsidR="00C1727D" w:rsidRDefault="00C1727D" w:rsidP="00561D70"/>
    <w:p w:rsidR="00C1727D" w:rsidRDefault="00C1727D" w:rsidP="00561D70">
      <w:proofErr w:type="gramStart"/>
      <w:r w:rsidRPr="00C1727D">
        <w:rPr>
          <w:b/>
        </w:rPr>
        <w:t>Optimal placement of sensors.</w:t>
      </w:r>
      <w:proofErr w:type="gramEnd"/>
      <w:r>
        <w:t xml:space="preserve">  The SSES software will analyze the site assessment results and use the database of sensors to </w:t>
      </w:r>
      <w:r w:rsidR="00067DE5">
        <w:t xml:space="preserve">create an array of sensors that provides the required level of security, as expressed in probability of detection, at a minimum cost.  </w:t>
      </w:r>
    </w:p>
    <w:p w:rsidR="00C1727D" w:rsidRDefault="00C1727D" w:rsidP="00561D70"/>
    <w:p w:rsidR="00C1727D" w:rsidRDefault="00C1727D" w:rsidP="00561D70">
      <w:proofErr w:type="gramStart"/>
      <w:r w:rsidRPr="00C1727D">
        <w:rPr>
          <w:b/>
        </w:rPr>
        <w:t>Reduction of recurring costs to customer.</w:t>
      </w:r>
      <w:proofErr w:type="gramEnd"/>
      <w:r>
        <w:t xml:space="preserve">  Because the custom</w:t>
      </w:r>
      <w:r w:rsidR="00067DE5">
        <w:t>er</w:t>
      </w:r>
      <w:r>
        <w:t xml:space="preserve"> will purchase the minimum amount of sensors to achieve the desired probability of detection, </w:t>
      </w:r>
      <w:r w:rsidR="00067DE5">
        <w:t>and thus adequate security, customers will be able to reduce roving patrols and sentries, relying on the detection system instead.</w:t>
      </w:r>
    </w:p>
    <w:p w:rsidR="00C1727D" w:rsidRDefault="00C1727D" w:rsidP="00561D70"/>
    <w:p w:rsidR="00BD42F8" w:rsidRDefault="00561D70" w:rsidP="00561D70">
      <w:r w:rsidRPr="00561D70">
        <w:tab/>
      </w:r>
    </w:p>
    <w:p w:rsidR="00BD42F8" w:rsidRDefault="00BD42F8">
      <w:r>
        <w:br w:type="page"/>
      </w:r>
    </w:p>
    <w:p w:rsidR="00561D70" w:rsidRPr="00561D70" w:rsidRDefault="00561D70" w:rsidP="00561D70"/>
    <w:p w:rsidR="00561D70" w:rsidRDefault="00561D70" w:rsidP="00561D70">
      <w:pPr>
        <w:numPr>
          <w:ilvl w:val="1"/>
          <w:numId w:val="1"/>
        </w:numPr>
        <w:rPr>
          <w:b/>
          <w:bCs/>
        </w:rPr>
      </w:pPr>
      <w:bookmarkStart w:id="11" w:name="_Toc214783695"/>
      <w:bookmarkStart w:id="12" w:name="_Toc216514673"/>
      <w:r w:rsidRPr="00561D70">
        <w:rPr>
          <w:b/>
          <w:bCs/>
        </w:rPr>
        <w:t>Competitive Analysis</w:t>
      </w:r>
      <w:bookmarkEnd w:id="11"/>
      <w:bookmarkEnd w:id="12"/>
    </w:p>
    <w:p w:rsidR="0055545D" w:rsidRPr="00561D70" w:rsidRDefault="0055545D" w:rsidP="0055545D">
      <w:pPr>
        <w:ind w:left="792"/>
        <w:rPr>
          <w:b/>
          <w:bCs/>
        </w:rPr>
      </w:pPr>
    </w:p>
    <w:p w:rsidR="00E26F60" w:rsidRDefault="00C1727D" w:rsidP="00561D70">
      <w:r>
        <w:t xml:space="preserve">There is simply no existing computer software package that can assist customers seeking to install or improve an intrusion detection system.  Current practices involve the use of a security expert to make a site visit and </w:t>
      </w:r>
      <w:r w:rsidR="00E26F60">
        <w:t xml:space="preserve">make recommendations based on a heuristic approach.  A competitive analysis comparing the SSES with the traditional method is provided below.  </w:t>
      </w:r>
    </w:p>
    <w:p w:rsidR="00E26F60" w:rsidRPr="00561D70" w:rsidRDefault="00E26F60" w:rsidP="00561D70"/>
    <w:tbl>
      <w:tblPr>
        <w:tblW w:w="9610" w:type="dxa"/>
        <w:jc w:val="center"/>
        <w:tblInd w:w="-830" w:type="dxa"/>
        <w:tblCellMar>
          <w:left w:w="0" w:type="dxa"/>
          <w:right w:w="0" w:type="dxa"/>
        </w:tblCellMar>
        <w:tblLook w:val="00A0"/>
      </w:tblPr>
      <w:tblGrid>
        <w:gridCol w:w="2003"/>
        <w:gridCol w:w="1974"/>
        <w:gridCol w:w="1016"/>
        <w:gridCol w:w="1159"/>
        <w:gridCol w:w="2085"/>
        <w:gridCol w:w="1373"/>
      </w:tblGrid>
      <w:tr w:rsidR="00F250AB" w:rsidRPr="008F0F3C" w:rsidTr="00F250AB">
        <w:trPr>
          <w:trHeight w:val="90"/>
          <w:tblHeader/>
          <w:jc w:val="center"/>
        </w:trPr>
        <w:tc>
          <w:tcPr>
            <w:tcW w:w="2003"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vAlign w:val="center"/>
          </w:tcPr>
          <w:p w:rsidR="00F250AB" w:rsidRPr="008F0F3C" w:rsidRDefault="00F250AB" w:rsidP="00561D70">
            <w:pPr>
              <w:rPr>
                <w:sz w:val="20"/>
                <w:szCs w:val="20"/>
              </w:rPr>
            </w:pPr>
            <w:r w:rsidRPr="008F0F3C">
              <w:rPr>
                <w:b/>
                <w:bCs/>
                <w:sz w:val="20"/>
                <w:szCs w:val="20"/>
              </w:rPr>
              <w:t>Factor</w:t>
            </w:r>
          </w:p>
        </w:tc>
        <w:tc>
          <w:tcPr>
            <w:tcW w:w="1974"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rsidR="00F250AB" w:rsidRPr="008F0F3C" w:rsidRDefault="00F250AB" w:rsidP="00561D70">
            <w:pPr>
              <w:rPr>
                <w:sz w:val="20"/>
                <w:szCs w:val="20"/>
              </w:rPr>
            </w:pPr>
            <w:r w:rsidRPr="008F0F3C">
              <w:rPr>
                <w:b/>
                <w:bCs/>
                <w:sz w:val="20"/>
                <w:szCs w:val="20"/>
              </w:rPr>
              <w:t>SSES</w:t>
            </w:r>
          </w:p>
        </w:tc>
        <w:tc>
          <w:tcPr>
            <w:tcW w:w="1016"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rsidR="00F250AB" w:rsidRPr="008F0F3C" w:rsidRDefault="00F250AB" w:rsidP="00561D70">
            <w:pPr>
              <w:rPr>
                <w:sz w:val="20"/>
                <w:szCs w:val="20"/>
              </w:rPr>
            </w:pPr>
            <w:r w:rsidRPr="008F0F3C">
              <w:rPr>
                <w:b/>
                <w:bCs/>
                <w:sz w:val="20"/>
                <w:szCs w:val="20"/>
              </w:rPr>
              <w:t>Strength</w:t>
            </w:r>
          </w:p>
        </w:tc>
        <w:tc>
          <w:tcPr>
            <w:tcW w:w="1159"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rsidR="00F250AB" w:rsidRPr="008F0F3C" w:rsidRDefault="00F250AB" w:rsidP="00561D70">
            <w:pPr>
              <w:rPr>
                <w:sz w:val="20"/>
                <w:szCs w:val="20"/>
              </w:rPr>
            </w:pPr>
            <w:r w:rsidRPr="008F0F3C">
              <w:rPr>
                <w:b/>
                <w:bCs/>
                <w:sz w:val="20"/>
                <w:szCs w:val="20"/>
              </w:rPr>
              <w:t>Weakness</w:t>
            </w:r>
          </w:p>
        </w:tc>
        <w:tc>
          <w:tcPr>
            <w:tcW w:w="2085"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rsidR="00F250AB" w:rsidRPr="008F0F3C" w:rsidRDefault="00F250AB" w:rsidP="00561D70">
            <w:pPr>
              <w:rPr>
                <w:sz w:val="20"/>
                <w:szCs w:val="20"/>
              </w:rPr>
            </w:pPr>
            <w:r w:rsidRPr="008F0F3C">
              <w:rPr>
                <w:b/>
                <w:bCs/>
                <w:sz w:val="20"/>
                <w:szCs w:val="20"/>
              </w:rPr>
              <w:t>Status Quo</w:t>
            </w:r>
          </w:p>
        </w:tc>
        <w:tc>
          <w:tcPr>
            <w:tcW w:w="1373"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rsidR="00F250AB" w:rsidRPr="008F0F3C" w:rsidRDefault="00F250AB" w:rsidP="00561D70">
            <w:pPr>
              <w:rPr>
                <w:sz w:val="20"/>
                <w:szCs w:val="20"/>
              </w:rPr>
            </w:pPr>
            <w:r w:rsidRPr="008F0F3C">
              <w:rPr>
                <w:b/>
                <w:bCs/>
                <w:sz w:val="20"/>
                <w:szCs w:val="20"/>
              </w:rPr>
              <w:t>Importance to Customer</w:t>
            </w:r>
          </w:p>
        </w:tc>
      </w:tr>
      <w:tr w:rsidR="00F250AB" w:rsidRPr="008F0F3C" w:rsidTr="00F250AB">
        <w:trPr>
          <w:trHeight w:val="86"/>
          <w:jc w:val="center"/>
        </w:trPr>
        <w:tc>
          <w:tcPr>
            <w:tcW w:w="2003" w:type="dxa"/>
            <w:tcBorders>
              <w:top w:val="nil"/>
              <w:left w:val="single" w:sz="8" w:space="0" w:color="auto"/>
              <w:bottom w:val="single" w:sz="8" w:space="0" w:color="auto"/>
              <w:right w:val="single" w:sz="8" w:space="0" w:color="auto"/>
            </w:tcBorders>
            <w:vAlign w:val="center"/>
          </w:tcPr>
          <w:p w:rsidR="00F250AB" w:rsidRPr="008F0F3C" w:rsidRDefault="00F250AB" w:rsidP="00561D70">
            <w:pPr>
              <w:rPr>
                <w:sz w:val="20"/>
                <w:szCs w:val="20"/>
              </w:rPr>
            </w:pPr>
            <w:r w:rsidRPr="008F0F3C">
              <w:rPr>
                <w:b/>
                <w:bCs/>
                <w:sz w:val="20"/>
                <w:szCs w:val="20"/>
              </w:rPr>
              <w:t>Ease of Use</w:t>
            </w:r>
          </w:p>
        </w:tc>
        <w:tc>
          <w:tcPr>
            <w:tcW w:w="1974" w:type="dxa"/>
            <w:tcBorders>
              <w:top w:val="nil"/>
              <w:left w:val="nil"/>
              <w:bottom w:val="single" w:sz="8" w:space="0" w:color="auto"/>
              <w:right w:val="single" w:sz="8" w:space="0" w:color="auto"/>
            </w:tcBorders>
          </w:tcPr>
          <w:p w:rsidR="00F250AB" w:rsidRPr="008F0F3C" w:rsidRDefault="00F250AB" w:rsidP="00A62D37">
            <w:pPr>
              <w:rPr>
                <w:sz w:val="20"/>
                <w:szCs w:val="20"/>
              </w:rPr>
            </w:pPr>
            <w:r w:rsidRPr="008F0F3C">
              <w:rPr>
                <w:sz w:val="20"/>
                <w:szCs w:val="20"/>
              </w:rPr>
              <w:t>SSES will allow a person with rudimentary knowledge to design a security system</w:t>
            </w:r>
            <w:r w:rsidR="00C1727D" w:rsidRPr="008F0F3C">
              <w:rPr>
                <w:sz w:val="20"/>
                <w:szCs w:val="20"/>
              </w:rPr>
              <w:t>.</w:t>
            </w:r>
            <w:r w:rsidRPr="008F0F3C">
              <w:rPr>
                <w:sz w:val="20"/>
                <w:szCs w:val="20"/>
              </w:rPr>
              <w:t xml:space="preserve"> </w:t>
            </w:r>
          </w:p>
        </w:tc>
        <w:tc>
          <w:tcPr>
            <w:tcW w:w="1016"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X</w:t>
            </w:r>
          </w:p>
        </w:tc>
        <w:tc>
          <w:tcPr>
            <w:tcW w:w="1159"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 </w:t>
            </w:r>
          </w:p>
        </w:tc>
        <w:tc>
          <w:tcPr>
            <w:tcW w:w="2085"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F250AB" w:rsidP="00561D70">
            <w:pPr>
              <w:rPr>
                <w:sz w:val="20"/>
                <w:szCs w:val="20"/>
              </w:rPr>
            </w:pPr>
            <w:r w:rsidRPr="008F0F3C">
              <w:rPr>
                <w:sz w:val="20"/>
                <w:szCs w:val="20"/>
              </w:rPr>
              <w:t>Existing systems must be designed by a trained and experienced security expert.</w:t>
            </w:r>
          </w:p>
        </w:tc>
        <w:tc>
          <w:tcPr>
            <w:tcW w:w="1373"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C1727D" w:rsidP="00561D70">
            <w:pPr>
              <w:rPr>
                <w:sz w:val="20"/>
                <w:szCs w:val="20"/>
              </w:rPr>
            </w:pPr>
            <w:r w:rsidRPr="008F0F3C">
              <w:rPr>
                <w:sz w:val="20"/>
                <w:szCs w:val="20"/>
              </w:rPr>
              <w:t>1</w:t>
            </w:r>
          </w:p>
        </w:tc>
      </w:tr>
      <w:tr w:rsidR="00F250AB" w:rsidRPr="008F0F3C" w:rsidTr="00F250AB">
        <w:trPr>
          <w:trHeight w:val="86"/>
          <w:jc w:val="center"/>
        </w:trPr>
        <w:tc>
          <w:tcPr>
            <w:tcW w:w="2003" w:type="dxa"/>
            <w:tcBorders>
              <w:top w:val="nil"/>
              <w:left w:val="single" w:sz="8" w:space="0" w:color="auto"/>
              <w:bottom w:val="single" w:sz="8" w:space="0" w:color="auto"/>
              <w:right w:val="single" w:sz="8" w:space="0" w:color="auto"/>
            </w:tcBorders>
            <w:vAlign w:val="center"/>
          </w:tcPr>
          <w:p w:rsidR="00F250AB" w:rsidRPr="008F0F3C" w:rsidRDefault="00F250AB" w:rsidP="00561D70">
            <w:pPr>
              <w:rPr>
                <w:sz w:val="20"/>
                <w:szCs w:val="20"/>
              </w:rPr>
            </w:pPr>
            <w:r w:rsidRPr="008F0F3C">
              <w:rPr>
                <w:b/>
                <w:bCs/>
                <w:sz w:val="20"/>
                <w:szCs w:val="20"/>
              </w:rPr>
              <w:t>Price</w:t>
            </w:r>
          </w:p>
        </w:tc>
        <w:tc>
          <w:tcPr>
            <w:tcW w:w="1974"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SSES users will have a significant initial cost of purchasing the license, but will reduce the initial cost of sensor purchases and greatly reduce manpower-related recurring costs</w:t>
            </w:r>
          </w:p>
        </w:tc>
        <w:tc>
          <w:tcPr>
            <w:tcW w:w="1016"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X</w:t>
            </w:r>
          </w:p>
        </w:tc>
        <w:tc>
          <w:tcPr>
            <w:tcW w:w="1159"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 </w:t>
            </w:r>
            <w:r w:rsidR="00C1727D" w:rsidRPr="008F0F3C">
              <w:rPr>
                <w:sz w:val="20"/>
                <w:szCs w:val="20"/>
              </w:rPr>
              <w:t>X</w:t>
            </w:r>
          </w:p>
        </w:tc>
        <w:tc>
          <w:tcPr>
            <w:tcW w:w="2085"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F250AB" w:rsidP="00A62D37">
            <w:pPr>
              <w:rPr>
                <w:sz w:val="20"/>
                <w:szCs w:val="20"/>
              </w:rPr>
            </w:pPr>
            <w:r w:rsidRPr="008F0F3C">
              <w:rPr>
                <w:sz w:val="20"/>
                <w:szCs w:val="20"/>
              </w:rPr>
              <w:t>Existing systems may use a number of sensors that are unnecessarily redundant.  Existing systems must be complemented with live sentries and patrols, increasing recurring costs.</w:t>
            </w:r>
          </w:p>
        </w:tc>
        <w:tc>
          <w:tcPr>
            <w:tcW w:w="1373"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C1727D" w:rsidP="00561D70">
            <w:pPr>
              <w:rPr>
                <w:sz w:val="20"/>
                <w:szCs w:val="20"/>
              </w:rPr>
            </w:pPr>
            <w:r w:rsidRPr="008F0F3C">
              <w:rPr>
                <w:sz w:val="20"/>
                <w:szCs w:val="20"/>
              </w:rPr>
              <w:t>3</w:t>
            </w:r>
          </w:p>
        </w:tc>
      </w:tr>
      <w:tr w:rsidR="00F250AB" w:rsidRPr="008F0F3C" w:rsidTr="00F250AB">
        <w:trPr>
          <w:trHeight w:val="86"/>
          <w:jc w:val="center"/>
        </w:trPr>
        <w:tc>
          <w:tcPr>
            <w:tcW w:w="2003" w:type="dxa"/>
            <w:tcBorders>
              <w:top w:val="nil"/>
              <w:left w:val="single" w:sz="8" w:space="0" w:color="auto"/>
              <w:bottom w:val="single" w:sz="8" w:space="0" w:color="auto"/>
              <w:right w:val="single" w:sz="8" w:space="0" w:color="auto"/>
            </w:tcBorders>
            <w:vAlign w:val="center"/>
          </w:tcPr>
          <w:p w:rsidR="00F250AB" w:rsidRPr="008F0F3C" w:rsidRDefault="00F250AB" w:rsidP="00561D70">
            <w:pPr>
              <w:rPr>
                <w:sz w:val="20"/>
                <w:szCs w:val="20"/>
              </w:rPr>
            </w:pPr>
            <w:r w:rsidRPr="008F0F3C">
              <w:rPr>
                <w:b/>
                <w:bCs/>
                <w:sz w:val="20"/>
                <w:szCs w:val="20"/>
              </w:rPr>
              <w:t>Complete Site Coverage</w:t>
            </w:r>
          </w:p>
        </w:tc>
        <w:tc>
          <w:tcPr>
            <w:tcW w:w="1974" w:type="dxa"/>
            <w:tcBorders>
              <w:top w:val="nil"/>
              <w:left w:val="nil"/>
              <w:bottom w:val="single" w:sz="8" w:space="0" w:color="auto"/>
              <w:right w:val="single" w:sz="8" w:space="0" w:color="auto"/>
            </w:tcBorders>
          </w:tcPr>
          <w:p w:rsidR="00F250AB" w:rsidRPr="008F0F3C" w:rsidRDefault="00F250AB" w:rsidP="00B82F9C">
            <w:pPr>
              <w:rPr>
                <w:sz w:val="20"/>
                <w:szCs w:val="20"/>
              </w:rPr>
            </w:pPr>
            <w:r w:rsidRPr="008F0F3C">
              <w:rPr>
                <w:sz w:val="20"/>
                <w:szCs w:val="20"/>
              </w:rPr>
              <w:t>SSES will identify any gaps in sensor coverage based on terrain analysis and weather variables and will allow the user to make sensor placement adjustments prior to installation</w:t>
            </w:r>
          </w:p>
        </w:tc>
        <w:tc>
          <w:tcPr>
            <w:tcW w:w="1016"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 </w:t>
            </w:r>
            <w:r w:rsidR="00C1727D" w:rsidRPr="008F0F3C">
              <w:rPr>
                <w:sz w:val="20"/>
                <w:szCs w:val="20"/>
              </w:rPr>
              <w:t>X</w:t>
            </w:r>
          </w:p>
        </w:tc>
        <w:tc>
          <w:tcPr>
            <w:tcW w:w="1159" w:type="dxa"/>
            <w:tcBorders>
              <w:top w:val="nil"/>
              <w:left w:val="nil"/>
              <w:bottom w:val="single" w:sz="8" w:space="0" w:color="auto"/>
              <w:right w:val="single" w:sz="8" w:space="0" w:color="auto"/>
            </w:tcBorders>
          </w:tcPr>
          <w:p w:rsidR="00F250AB" w:rsidRPr="008F0F3C" w:rsidRDefault="00F250AB" w:rsidP="00561D70">
            <w:pPr>
              <w:rPr>
                <w:sz w:val="20"/>
                <w:szCs w:val="20"/>
              </w:rPr>
            </w:pPr>
          </w:p>
        </w:tc>
        <w:tc>
          <w:tcPr>
            <w:tcW w:w="2085"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F250AB" w:rsidP="00B82F9C">
            <w:pPr>
              <w:rPr>
                <w:sz w:val="20"/>
                <w:szCs w:val="20"/>
              </w:rPr>
            </w:pPr>
            <w:r w:rsidRPr="008F0F3C">
              <w:rPr>
                <w:sz w:val="20"/>
                <w:szCs w:val="20"/>
              </w:rPr>
              <w:t xml:space="preserve">There is no way to identify positively all security gaps prior to installation.  </w:t>
            </w:r>
          </w:p>
        </w:tc>
        <w:tc>
          <w:tcPr>
            <w:tcW w:w="1373"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C1727D" w:rsidP="00561D70">
            <w:pPr>
              <w:rPr>
                <w:sz w:val="20"/>
                <w:szCs w:val="20"/>
              </w:rPr>
            </w:pPr>
            <w:r w:rsidRPr="008F0F3C">
              <w:rPr>
                <w:sz w:val="20"/>
                <w:szCs w:val="20"/>
              </w:rPr>
              <w:t>5</w:t>
            </w:r>
          </w:p>
        </w:tc>
      </w:tr>
      <w:tr w:rsidR="00F250AB" w:rsidRPr="008F0F3C" w:rsidTr="00F250AB">
        <w:trPr>
          <w:trHeight w:val="86"/>
          <w:jc w:val="center"/>
        </w:trPr>
        <w:tc>
          <w:tcPr>
            <w:tcW w:w="2003" w:type="dxa"/>
            <w:tcBorders>
              <w:top w:val="nil"/>
              <w:left w:val="single" w:sz="8" w:space="0" w:color="auto"/>
              <w:bottom w:val="single" w:sz="8" w:space="0" w:color="auto"/>
              <w:right w:val="single" w:sz="8" w:space="0" w:color="auto"/>
            </w:tcBorders>
            <w:vAlign w:val="center"/>
          </w:tcPr>
          <w:p w:rsidR="00F250AB" w:rsidRPr="008F0F3C" w:rsidRDefault="00F250AB" w:rsidP="00561D70">
            <w:pPr>
              <w:rPr>
                <w:sz w:val="20"/>
                <w:szCs w:val="20"/>
              </w:rPr>
            </w:pPr>
            <w:r w:rsidRPr="008F0F3C">
              <w:rPr>
                <w:b/>
                <w:bCs/>
                <w:sz w:val="20"/>
                <w:szCs w:val="20"/>
              </w:rPr>
              <w:t>Adaptability</w:t>
            </w:r>
          </w:p>
        </w:tc>
        <w:tc>
          <w:tcPr>
            <w:tcW w:w="1974"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SSES will feature a drag-and-drop user interface to allow users to fine-tune sensor placement.  Changes to terrain (trees removed, road built, etc.) can be captured and a new solution calculated quickly.</w:t>
            </w:r>
          </w:p>
        </w:tc>
        <w:tc>
          <w:tcPr>
            <w:tcW w:w="1016"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X</w:t>
            </w:r>
          </w:p>
        </w:tc>
        <w:tc>
          <w:tcPr>
            <w:tcW w:w="1159"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 </w:t>
            </w:r>
          </w:p>
        </w:tc>
        <w:tc>
          <w:tcPr>
            <w:tcW w:w="2085"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F250AB" w:rsidP="00561D70">
            <w:pPr>
              <w:rPr>
                <w:sz w:val="20"/>
                <w:szCs w:val="20"/>
              </w:rPr>
            </w:pPr>
            <w:r w:rsidRPr="008F0F3C">
              <w:rPr>
                <w:sz w:val="20"/>
                <w:szCs w:val="20"/>
              </w:rPr>
              <w:t xml:space="preserve">The process must be started over again using a trained and experienced security expert.  </w:t>
            </w:r>
          </w:p>
        </w:tc>
        <w:tc>
          <w:tcPr>
            <w:tcW w:w="1373"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C1727D" w:rsidP="00561D70">
            <w:pPr>
              <w:rPr>
                <w:sz w:val="20"/>
                <w:szCs w:val="20"/>
              </w:rPr>
            </w:pPr>
            <w:r w:rsidRPr="008F0F3C">
              <w:rPr>
                <w:sz w:val="20"/>
                <w:szCs w:val="20"/>
              </w:rPr>
              <w:t>5</w:t>
            </w:r>
          </w:p>
        </w:tc>
      </w:tr>
      <w:tr w:rsidR="00F250AB" w:rsidRPr="008F0F3C" w:rsidTr="00F250AB">
        <w:trPr>
          <w:trHeight w:val="86"/>
          <w:jc w:val="center"/>
        </w:trPr>
        <w:tc>
          <w:tcPr>
            <w:tcW w:w="2003" w:type="dxa"/>
            <w:tcBorders>
              <w:top w:val="nil"/>
              <w:left w:val="single" w:sz="8" w:space="0" w:color="auto"/>
              <w:bottom w:val="single" w:sz="8" w:space="0" w:color="auto"/>
              <w:right w:val="single" w:sz="8" w:space="0" w:color="auto"/>
            </w:tcBorders>
            <w:vAlign w:val="center"/>
          </w:tcPr>
          <w:p w:rsidR="00F250AB" w:rsidRPr="008F0F3C" w:rsidRDefault="00F250AB" w:rsidP="00561D70">
            <w:pPr>
              <w:rPr>
                <w:sz w:val="20"/>
                <w:szCs w:val="20"/>
              </w:rPr>
            </w:pPr>
            <w:r w:rsidRPr="008F0F3C">
              <w:rPr>
                <w:b/>
                <w:bCs/>
                <w:sz w:val="20"/>
                <w:szCs w:val="20"/>
              </w:rPr>
              <w:t>Probability of Detection</w:t>
            </w:r>
          </w:p>
        </w:tc>
        <w:tc>
          <w:tcPr>
            <w:tcW w:w="1974"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 xml:space="preserve">The probability of detection for the entire system is calculated, allowing the user to determine whether the </w:t>
            </w:r>
            <w:r w:rsidRPr="008F0F3C">
              <w:rPr>
                <w:sz w:val="20"/>
                <w:szCs w:val="20"/>
              </w:rPr>
              <w:lastRenderedPageBreak/>
              <w:t>detection system as designed meets its required specifications.</w:t>
            </w:r>
          </w:p>
        </w:tc>
        <w:tc>
          <w:tcPr>
            <w:tcW w:w="1016"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lastRenderedPageBreak/>
              <w:t>X</w:t>
            </w:r>
          </w:p>
        </w:tc>
        <w:tc>
          <w:tcPr>
            <w:tcW w:w="1159"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 </w:t>
            </w:r>
          </w:p>
        </w:tc>
        <w:tc>
          <w:tcPr>
            <w:tcW w:w="2085"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F250AB" w:rsidP="00561D70">
            <w:pPr>
              <w:rPr>
                <w:sz w:val="20"/>
                <w:szCs w:val="20"/>
              </w:rPr>
            </w:pPr>
            <w:r w:rsidRPr="008F0F3C">
              <w:rPr>
                <w:sz w:val="20"/>
                <w:szCs w:val="20"/>
              </w:rPr>
              <w:t xml:space="preserve">This is generally not considered.  With no digital representation of the system, calculations are </w:t>
            </w:r>
            <w:r w:rsidRPr="008F0F3C">
              <w:rPr>
                <w:sz w:val="20"/>
                <w:szCs w:val="20"/>
              </w:rPr>
              <w:lastRenderedPageBreak/>
              <w:t>unwieldy.</w:t>
            </w:r>
          </w:p>
        </w:tc>
        <w:tc>
          <w:tcPr>
            <w:tcW w:w="1373"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C1727D" w:rsidP="00561D70">
            <w:pPr>
              <w:rPr>
                <w:sz w:val="20"/>
                <w:szCs w:val="20"/>
              </w:rPr>
            </w:pPr>
            <w:r w:rsidRPr="008F0F3C">
              <w:rPr>
                <w:sz w:val="20"/>
                <w:szCs w:val="20"/>
              </w:rPr>
              <w:lastRenderedPageBreak/>
              <w:t>5</w:t>
            </w:r>
          </w:p>
        </w:tc>
      </w:tr>
      <w:tr w:rsidR="00F250AB" w:rsidRPr="008F0F3C" w:rsidTr="00F250AB">
        <w:trPr>
          <w:trHeight w:val="86"/>
          <w:jc w:val="center"/>
        </w:trPr>
        <w:tc>
          <w:tcPr>
            <w:tcW w:w="2003" w:type="dxa"/>
            <w:tcBorders>
              <w:top w:val="nil"/>
              <w:left w:val="single" w:sz="8" w:space="0" w:color="auto"/>
              <w:bottom w:val="single" w:sz="8" w:space="0" w:color="auto"/>
              <w:right w:val="single" w:sz="8" w:space="0" w:color="auto"/>
            </w:tcBorders>
            <w:vAlign w:val="center"/>
          </w:tcPr>
          <w:p w:rsidR="00F250AB" w:rsidRPr="008F0F3C" w:rsidRDefault="00F250AB" w:rsidP="00561D70">
            <w:pPr>
              <w:rPr>
                <w:sz w:val="20"/>
                <w:szCs w:val="20"/>
              </w:rPr>
            </w:pPr>
            <w:r w:rsidRPr="008F0F3C">
              <w:rPr>
                <w:b/>
                <w:bCs/>
                <w:sz w:val="20"/>
                <w:szCs w:val="20"/>
              </w:rPr>
              <w:lastRenderedPageBreak/>
              <w:t>False Alarm Rate</w:t>
            </w:r>
          </w:p>
        </w:tc>
        <w:tc>
          <w:tcPr>
            <w:tcW w:w="1974" w:type="dxa"/>
            <w:tcBorders>
              <w:top w:val="nil"/>
              <w:left w:val="nil"/>
              <w:bottom w:val="single" w:sz="8" w:space="0" w:color="auto"/>
              <w:right w:val="single" w:sz="8" w:space="0" w:color="auto"/>
            </w:tcBorders>
          </w:tcPr>
          <w:p w:rsidR="00F250AB" w:rsidRPr="008F0F3C" w:rsidRDefault="00F250AB" w:rsidP="00561D70">
            <w:pPr>
              <w:rPr>
                <w:sz w:val="20"/>
                <w:szCs w:val="20"/>
              </w:rPr>
            </w:pPr>
            <w:r w:rsidRPr="008F0F3C">
              <w:rPr>
                <w:sz w:val="20"/>
                <w:szCs w:val="20"/>
              </w:rPr>
              <w:t>The false alarm rate for the entire system is calculated, allowing the user to determine whether the detection system as designed meets its required specifications.</w:t>
            </w:r>
          </w:p>
        </w:tc>
        <w:tc>
          <w:tcPr>
            <w:tcW w:w="1016" w:type="dxa"/>
            <w:tcBorders>
              <w:top w:val="nil"/>
              <w:left w:val="nil"/>
              <w:bottom w:val="single" w:sz="8" w:space="0" w:color="auto"/>
              <w:right w:val="single" w:sz="8" w:space="0" w:color="auto"/>
            </w:tcBorders>
          </w:tcPr>
          <w:p w:rsidR="00F250AB" w:rsidRPr="008F0F3C" w:rsidRDefault="00C1727D" w:rsidP="00561D70">
            <w:pPr>
              <w:rPr>
                <w:sz w:val="20"/>
                <w:szCs w:val="20"/>
              </w:rPr>
            </w:pPr>
            <w:r w:rsidRPr="008F0F3C">
              <w:rPr>
                <w:sz w:val="20"/>
                <w:szCs w:val="20"/>
              </w:rPr>
              <w:t>X</w:t>
            </w:r>
          </w:p>
        </w:tc>
        <w:tc>
          <w:tcPr>
            <w:tcW w:w="1159" w:type="dxa"/>
            <w:tcBorders>
              <w:top w:val="nil"/>
              <w:left w:val="nil"/>
              <w:bottom w:val="single" w:sz="8" w:space="0" w:color="auto"/>
              <w:right w:val="single" w:sz="8" w:space="0" w:color="auto"/>
            </w:tcBorders>
          </w:tcPr>
          <w:p w:rsidR="00F250AB" w:rsidRPr="008F0F3C" w:rsidRDefault="00F250AB" w:rsidP="00561D70">
            <w:pPr>
              <w:rPr>
                <w:sz w:val="20"/>
                <w:szCs w:val="20"/>
              </w:rPr>
            </w:pPr>
          </w:p>
        </w:tc>
        <w:tc>
          <w:tcPr>
            <w:tcW w:w="2085"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F250AB" w:rsidP="00F250AB">
            <w:pPr>
              <w:rPr>
                <w:sz w:val="20"/>
                <w:szCs w:val="20"/>
              </w:rPr>
            </w:pPr>
            <w:r w:rsidRPr="008F0F3C">
              <w:rPr>
                <w:sz w:val="20"/>
                <w:szCs w:val="20"/>
              </w:rPr>
              <w:t>This is generally not considered.  With no digital representation of the system, calculations are unwieldy.</w:t>
            </w:r>
          </w:p>
        </w:tc>
        <w:tc>
          <w:tcPr>
            <w:tcW w:w="1373" w:type="dxa"/>
            <w:tcBorders>
              <w:top w:val="nil"/>
              <w:left w:val="nil"/>
              <w:bottom w:val="single" w:sz="8" w:space="0" w:color="auto"/>
              <w:right w:val="single" w:sz="8" w:space="0" w:color="auto"/>
            </w:tcBorders>
            <w:tcMar>
              <w:top w:w="58" w:type="dxa"/>
              <w:left w:w="115" w:type="dxa"/>
              <w:bottom w:w="58" w:type="dxa"/>
              <w:right w:w="115" w:type="dxa"/>
            </w:tcMar>
          </w:tcPr>
          <w:p w:rsidR="00F250AB" w:rsidRPr="008F0F3C" w:rsidRDefault="00C1727D" w:rsidP="00561D70">
            <w:pPr>
              <w:rPr>
                <w:sz w:val="20"/>
                <w:szCs w:val="20"/>
              </w:rPr>
            </w:pPr>
            <w:r w:rsidRPr="008F0F3C">
              <w:rPr>
                <w:sz w:val="20"/>
                <w:szCs w:val="20"/>
              </w:rPr>
              <w:t>3</w:t>
            </w:r>
          </w:p>
        </w:tc>
      </w:tr>
    </w:tbl>
    <w:p w:rsidR="00CB4B7F" w:rsidRPr="00561D70" w:rsidRDefault="00CB4B7F" w:rsidP="00CB4B7F">
      <w:pPr>
        <w:rPr>
          <w:b/>
          <w:bCs/>
        </w:rPr>
      </w:pPr>
      <w:bookmarkStart w:id="13" w:name="_Toc216514838"/>
      <w:bookmarkStart w:id="14" w:name="_Toc214604808"/>
      <w:r w:rsidRPr="00561D70">
        <w:rPr>
          <w:b/>
          <w:bCs/>
        </w:rPr>
        <w:t xml:space="preserve">Figure </w:t>
      </w:r>
      <w:r w:rsidR="003478B4" w:rsidRPr="003478B4">
        <w:rPr>
          <w:b/>
          <w:bCs/>
        </w:rPr>
        <w:fldChar w:fldCharType="begin"/>
      </w:r>
      <w:r w:rsidRPr="00561D70">
        <w:rPr>
          <w:b/>
          <w:bCs/>
        </w:rPr>
        <w:instrText xml:space="preserve"> SEQ Figure \* ARABIC </w:instrText>
      </w:r>
      <w:r w:rsidR="003478B4" w:rsidRPr="003478B4">
        <w:rPr>
          <w:b/>
          <w:bCs/>
        </w:rPr>
        <w:fldChar w:fldCharType="separate"/>
      </w:r>
      <w:r w:rsidR="009365C4">
        <w:rPr>
          <w:b/>
          <w:bCs/>
          <w:noProof/>
        </w:rPr>
        <w:t>1</w:t>
      </w:r>
      <w:r w:rsidR="003478B4" w:rsidRPr="00561D70">
        <w:fldChar w:fldCharType="end"/>
      </w:r>
      <w:r w:rsidRPr="00561D70">
        <w:rPr>
          <w:b/>
          <w:bCs/>
        </w:rPr>
        <w:t xml:space="preserve"> - Competitive Analysis</w:t>
      </w:r>
      <w:bookmarkEnd w:id="13"/>
    </w:p>
    <w:bookmarkEnd w:id="14"/>
    <w:p w:rsidR="00561D70" w:rsidRPr="00561D70" w:rsidRDefault="00561D70" w:rsidP="00561D70"/>
    <w:p w:rsidR="00561D70" w:rsidRPr="00561D70" w:rsidRDefault="00561D70" w:rsidP="00561D70">
      <w:pPr>
        <w:numPr>
          <w:ilvl w:val="1"/>
          <w:numId w:val="1"/>
        </w:numPr>
        <w:rPr>
          <w:b/>
          <w:bCs/>
        </w:rPr>
      </w:pPr>
      <w:bookmarkStart w:id="15" w:name="_Toc214783696"/>
      <w:bookmarkStart w:id="16" w:name="_Toc216514674"/>
      <w:bookmarkStart w:id="17" w:name="_Toc214621666"/>
      <w:r w:rsidRPr="00561D70">
        <w:rPr>
          <w:b/>
          <w:bCs/>
        </w:rPr>
        <w:t>Financial Goals</w:t>
      </w:r>
      <w:bookmarkEnd w:id="15"/>
      <w:bookmarkEnd w:id="16"/>
      <w:r w:rsidRPr="00561D70">
        <w:rPr>
          <w:b/>
          <w:bCs/>
        </w:rPr>
        <w:t xml:space="preserve"> </w:t>
      </w:r>
      <w:bookmarkEnd w:id="17"/>
    </w:p>
    <w:p w:rsidR="00561D70" w:rsidRDefault="00561D70" w:rsidP="00561D70">
      <w:r w:rsidRPr="00561D70">
        <w:t xml:space="preserve">The goal of the </w:t>
      </w:r>
      <w:r w:rsidR="00DA72F6">
        <w:t xml:space="preserve">SSES </w:t>
      </w:r>
      <w:r w:rsidRPr="00561D70">
        <w:t xml:space="preserve">team is to </w:t>
      </w:r>
      <w:r w:rsidR="00DA72F6">
        <w:t>sell a complete SSES</w:t>
      </w:r>
      <w:r w:rsidRPr="00561D70">
        <w:t xml:space="preserve"> for approximately $</w:t>
      </w:r>
      <w:r w:rsidR="00CB4B7F">
        <w:t>3</w:t>
      </w:r>
      <w:r w:rsidR="00DA72F6">
        <w:t>5</w:t>
      </w:r>
      <w:r w:rsidRPr="00561D70">
        <w:t>,000 to</w:t>
      </w:r>
      <w:r w:rsidR="00DA72F6">
        <w:t xml:space="preserve"> governmental agencies</w:t>
      </w:r>
      <w:r w:rsidRPr="00561D70">
        <w:t xml:space="preserve">. </w:t>
      </w:r>
      <w:r w:rsidR="00DA72F6">
        <w:t xml:space="preserve"> This price includes a 10-user software license, an initial site assessment by a member of the SSES team, and initial training for users of the system.  By comparison, a 20-user software license for Rockwell’s Arena simulation program (without on-site training) is valued at $270,000.  </w:t>
      </w:r>
      <w:r w:rsidRPr="00561D70">
        <w:t xml:space="preserve">The price breakout is shown in figure </w:t>
      </w:r>
      <w:r w:rsidR="00AB6111">
        <w:t>_</w:t>
      </w:r>
      <w:r w:rsidRPr="00561D70">
        <w:t xml:space="preserve"> below:</w:t>
      </w:r>
    </w:p>
    <w:p w:rsidR="00DA72F6" w:rsidRPr="00561D70" w:rsidRDefault="00DA72F6" w:rsidP="00561D70"/>
    <w:p w:rsidR="00561D70" w:rsidRPr="00561D70" w:rsidRDefault="00561D70" w:rsidP="00561D70"/>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915"/>
        <w:gridCol w:w="1915"/>
        <w:gridCol w:w="1915"/>
      </w:tblGrid>
      <w:tr w:rsidR="00561D70" w:rsidRPr="008F0F3C" w:rsidTr="002D77D6">
        <w:trPr>
          <w:jc w:val="center"/>
        </w:trPr>
        <w:tc>
          <w:tcPr>
            <w:tcW w:w="2165" w:type="dxa"/>
          </w:tcPr>
          <w:p w:rsidR="00561D70" w:rsidRPr="008F0F3C" w:rsidRDefault="00561D70" w:rsidP="00561D70">
            <w:pPr>
              <w:rPr>
                <w:b/>
              </w:rPr>
            </w:pPr>
            <w:r w:rsidRPr="008F0F3C">
              <w:rPr>
                <w:b/>
              </w:rPr>
              <w:t xml:space="preserve">Item </w:t>
            </w:r>
          </w:p>
        </w:tc>
        <w:tc>
          <w:tcPr>
            <w:tcW w:w="1915" w:type="dxa"/>
          </w:tcPr>
          <w:p w:rsidR="00561D70" w:rsidRPr="008F0F3C" w:rsidRDefault="00561D70" w:rsidP="00561D70">
            <w:pPr>
              <w:rPr>
                <w:b/>
              </w:rPr>
            </w:pPr>
            <w:r w:rsidRPr="008F0F3C">
              <w:rPr>
                <w:b/>
              </w:rPr>
              <w:t>Quantity</w:t>
            </w:r>
          </w:p>
        </w:tc>
        <w:tc>
          <w:tcPr>
            <w:tcW w:w="1915" w:type="dxa"/>
          </w:tcPr>
          <w:p w:rsidR="00561D70" w:rsidRPr="008F0F3C" w:rsidRDefault="00561D70" w:rsidP="00561D70">
            <w:pPr>
              <w:rPr>
                <w:b/>
              </w:rPr>
            </w:pPr>
            <w:r w:rsidRPr="008F0F3C">
              <w:rPr>
                <w:b/>
              </w:rPr>
              <w:t>Price</w:t>
            </w:r>
          </w:p>
        </w:tc>
        <w:tc>
          <w:tcPr>
            <w:tcW w:w="1915" w:type="dxa"/>
          </w:tcPr>
          <w:p w:rsidR="00561D70" w:rsidRPr="008F0F3C" w:rsidRDefault="00561D70" w:rsidP="00561D70">
            <w:pPr>
              <w:rPr>
                <w:b/>
              </w:rPr>
            </w:pPr>
            <w:r w:rsidRPr="008F0F3C">
              <w:rPr>
                <w:b/>
              </w:rPr>
              <w:t>Total</w:t>
            </w:r>
          </w:p>
        </w:tc>
      </w:tr>
      <w:tr w:rsidR="00DA72F6" w:rsidRPr="008F0F3C" w:rsidTr="002D77D6">
        <w:trPr>
          <w:jc w:val="center"/>
        </w:trPr>
        <w:tc>
          <w:tcPr>
            <w:tcW w:w="2165" w:type="dxa"/>
          </w:tcPr>
          <w:p w:rsidR="00DA72F6" w:rsidRPr="008F0F3C" w:rsidRDefault="00DA72F6" w:rsidP="00DA72F6">
            <w:r w:rsidRPr="008F0F3C">
              <w:t>10-User License</w:t>
            </w:r>
          </w:p>
        </w:tc>
        <w:tc>
          <w:tcPr>
            <w:tcW w:w="1915" w:type="dxa"/>
          </w:tcPr>
          <w:p w:rsidR="00DA72F6" w:rsidRPr="008F0F3C" w:rsidRDefault="00DA72F6" w:rsidP="00561D70">
            <w:r w:rsidRPr="008F0F3C">
              <w:t>1</w:t>
            </w:r>
          </w:p>
        </w:tc>
        <w:tc>
          <w:tcPr>
            <w:tcW w:w="1915" w:type="dxa"/>
          </w:tcPr>
          <w:p w:rsidR="00DA72F6" w:rsidRPr="008F0F3C" w:rsidRDefault="00DA72F6" w:rsidP="004F5B30">
            <w:r w:rsidRPr="008F0F3C">
              <w:t>$</w:t>
            </w:r>
            <w:r w:rsidR="004F5B30" w:rsidRPr="008F0F3C">
              <w:t>2</w:t>
            </w:r>
            <w:r w:rsidRPr="008F0F3C">
              <w:t>5,000</w:t>
            </w:r>
          </w:p>
        </w:tc>
        <w:tc>
          <w:tcPr>
            <w:tcW w:w="1915" w:type="dxa"/>
          </w:tcPr>
          <w:p w:rsidR="00DA72F6" w:rsidRPr="008F0F3C" w:rsidRDefault="00DA72F6" w:rsidP="004F5B30">
            <w:r w:rsidRPr="008F0F3C">
              <w:t>$</w:t>
            </w:r>
            <w:r w:rsidR="004F5B30" w:rsidRPr="008F0F3C">
              <w:t>2</w:t>
            </w:r>
            <w:r w:rsidRPr="008F0F3C">
              <w:t>5,000</w:t>
            </w:r>
          </w:p>
        </w:tc>
      </w:tr>
      <w:tr w:rsidR="00DA72F6" w:rsidRPr="008F0F3C" w:rsidTr="002D77D6">
        <w:trPr>
          <w:jc w:val="center"/>
        </w:trPr>
        <w:tc>
          <w:tcPr>
            <w:tcW w:w="2165" w:type="dxa"/>
          </w:tcPr>
          <w:p w:rsidR="00DA72F6" w:rsidRPr="008F0F3C" w:rsidRDefault="00DA72F6" w:rsidP="00561D70">
            <w:r w:rsidRPr="008F0F3C">
              <w:t>Software Training</w:t>
            </w:r>
          </w:p>
        </w:tc>
        <w:tc>
          <w:tcPr>
            <w:tcW w:w="1915" w:type="dxa"/>
          </w:tcPr>
          <w:p w:rsidR="00DA72F6" w:rsidRPr="008F0F3C" w:rsidRDefault="00DA72F6" w:rsidP="00561D70">
            <w:r w:rsidRPr="008F0F3C">
              <w:t>1</w:t>
            </w:r>
          </w:p>
        </w:tc>
        <w:tc>
          <w:tcPr>
            <w:tcW w:w="1915" w:type="dxa"/>
          </w:tcPr>
          <w:p w:rsidR="00DA72F6" w:rsidRPr="008F0F3C" w:rsidRDefault="00DA72F6" w:rsidP="004F5B30">
            <w:r w:rsidRPr="008F0F3C">
              <w:t>$</w:t>
            </w:r>
            <w:r w:rsidR="004F5B30" w:rsidRPr="008F0F3C">
              <w:t>5</w:t>
            </w:r>
            <w:r w:rsidRPr="008F0F3C">
              <w:t>,000</w:t>
            </w:r>
          </w:p>
        </w:tc>
        <w:tc>
          <w:tcPr>
            <w:tcW w:w="1915" w:type="dxa"/>
          </w:tcPr>
          <w:p w:rsidR="00DA72F6" w:rsidRPr="008F0F3C" w:rsidRDefault="00DA72F6" w:rsidP="004F5B30">
            <w:r w:rsidRPr="008F0F3C">
              <w:t>$</w:t>
            </w:r>
            <w:r w:rsidR="004F5B30" w:rsidRPr="008F0F3C">
              <w:t>5</w:t>
            </w:r>
            <w:r w:rsidRPr="008F0F3C">
              <w:t>,000</w:t>
            </w:r>
          </w:p>
        </w:tc>
      </w:tr>
      <w:tr w:rsidR="00DA72F6" w:rsidRPr="008F0F3C" w:rsidTr="002D77D6">
        <w:trPr>
          <w:jc w:val="center"/>
        </w:trPr>
        <w:tc>
          <w:tcPr>
            <w:tcW w:w="2165" w:type="dxa"/>
          </w:tcPr>
          <w:p w:rsidR="00DA72F6" w:rsidRPr="008F0F3C" w:rsidRDefault="00DA72F6" w:rsidP="00561D70">
            <w:r w:rsidRPr="008F0F3C">
              <w:t>Initial Site Survey</w:t>
            </w:r>
          </w:p>
        </w:tc>
        <w:tc>
          <w:tcPr>
            <w:tcW w:w="1915" w:type="dxa"/>
          </w:tcPr>
          <w:p w:rsidR="00DA72F6" w:rsidRPr="008F0F3C" w:rsidRDefault="00DA72F6" w:rsidP="00561D70">
            <w:r w:rsidRPr="008F0F3C">
              <w:t>1</w:t>
            </w:r>
          </w:p>
        </w:tc>
        <w:tc>
          <w:tcPr>
            <w:tcW w:w="1915" w:type="dxa"/>
          </w:tcPr>
          <w:p w:rsidR="00DA72F6" w:rsidRPr="008F0F3C" w:rsidRDefault="00DA72F6" w:rsidP="004F5B30">
            <w:r w:rsidRPr="008F0F3C">
              <w:t>$</w:t>
            </w:r>
            <w:r w:rsidR="004F5B30" w:rsidRPr="008F0F3C">
              <w:t>5,</w:t>
            </w:r>
            <w:r w:rsidRPr="008F0F3C">
              <w:t>000</w:t>
            </w:r>
          </w:p>
        </w:tc>
        <w:tc>
          <w:tcPr>
            <w:tcW w:w="1915" w:type="dxa"/>
          </w:tcPr>
          <w:p w:rsidR="00DA72F6" w:rsidRPr="008F0F3C" w:rsidRDefault="00DA72F6" w:rsidP="004F5B30">
            <w:r w:rsidRPr="008F0F3C">
              <w:t>$</w:t>
            </w:r>
            <w:r w:rsidR="004F5B30" w:rsidRPr="008F0F3C">
              <w:t>5</w:t>
            </w:r>
            <w:r w:rsidRPr="008F0F3C">
              <w:t>,000</w:t>
            </w:r>
          </w:p>
        </w:tc>
      </w:tr>
      <w:tr w:rsidR="00DA72F6" w:rsidRPr="008F0F3C" w:rsidTr="002D77D6">
        <w:trPr>
          <w:jc w:val="center"/>
        </w:trPr>
        <w:tc>
          <w:tcPr>
            <w:tcW w:w="2165" w:type="dxa"/>
          </w:tcPr>
          <w:p w:rsidR="00DA72F6" w:rsidRPr="008F0F3C" w:rsidRDefault="00DA72F6" w:rsidP="00561D70">
            <w:pPr>
              <w:rPr>
                <w:b/>
              </w:rPr>
            </w:pPr>
            <w:r w:rsidRPr="008F0F3C">
              <w:rPr>
                <w:b/>
              </w:rPr>
              <w:t>Total</w:t>
            </w:r>
          </w:p>
        </w:tc>
        <w:tc>
          <w:tcPr>
            <w:tcW w:w="1915" w:type="dxa"/>
          </w:tcPr>
          <w:p w:rsidR="00DA72F6" w:rsidRPr="008F0F3C" w:rsidRDefault="00DA72F6" w:rsidP="00561D70"/>
        </w:tc>
        <w:tc>
          <w:tcPr>
            <w:tcW w:w="1915" w:type="dxa"/>
          </w:tcPr>
          <w:p w:rsidR="00DA72F6" w:rsidRPr="008F0F3C" w:rsidRDefault="00DA72F6" w:rsidP="00DA72F6"/>
        </w:tc>
        <w:tc>
          <w:tcPr>
            <w:tcW w:w="1915" w:type="dxa"/>
          </w:tcPr>
          <w:p w:rsidR="00DA72F6" w:rsidRPr="008F0F3C" w:rsidRDefault="00DA72F6" w:rsidP="004F5B30">
            <w:pPr>
              <w:rPr>
                <w:b/>
              </w:rPr>
            </w:pPr>
            <w:r w:rsidRPr="008F0F3C">
              <w:rPr>
                <w:b/>
              </w:rPr>
              <w:t>$</w:t>
            </w:r>
            <w:r w:rsidR="004F5B30" w:rsidRPr="008F0F3C">
              <w:rPr>
                <w:b/>
              </w:rPr>
              <w:t>3</w:t>
            </w:r>
            <w:r w:rsidRPr="008F0F3C">
              <w:rPr>
                <w:b/>
              </w:rPr>
              <w:t>5,000</w:t>
            </w:r>
          </w:p>
        </w:tc>
      </w:tr>
    </w:tbl>
    <w:p w:rsidR="00561D70" w:rsidRPr="00561D70" w:rsidRDefault="00561D70" w:rsidP="00561D70">
      <w:pPr>
        <w:rPr>
          <w:b/>
          <w:bCs/>
        </w:rPr>
      </w:pPr>
      <w:bookmarkStart w:id="18" w:name="_Toc216514839"/>
      <w:r w:rsidRPr="00561D70">
        <w:rPr>
          <w:b/>
          <w:bCs/>
        </w:rPr>
        <w:t xml:space="preserve">Figure </w:t>
      </w:r>
      <w:r w:rsidR="003478B4" w:rsidRPr="003478B4">
        <w:rPr>
          <w:b/>
          <w:bCs/>
        </w:rPr>
        <w:fldChar w:fldCharType="begin"/>
      </w:r>
      <w:r w:rsidRPr="00561D70">
        <w:rPr>
          <w:b/>
          <w:bCs/>
        </w:rPr>
        <w:instrText xml:space="preserve"> SEQ Figure \* ARABIC </w:instrText>
      </w:r>
      <w:r w:rsidR="003478B4" w:rsidRPr="003478B4">
        <w:rPr>
          <w:b/>
          <w:bCs/>
        </w:rPr>
        <w:fldChar w:fldCharType="separate"/>
      </w:r>
      <w:r w:rsidR="009365C4">
        <w:rPr>
          <w:b/>
          <w:bCs/>
          <w:noProof/>
        </w:rPr>
        <w:t>2</w:t>
      </w:r>
      <w:r w:rsidR="003478B4" w:rsidRPr="00561D70">
        <w:fldChar w:fldCharType="end"/>
      </w:r>
      <w:r w:rsidRPr="00561D70">
        <w:rPr>
          <w:b/>
          <w:bCs/>
        </w:rPr>
        <w:t xml:space="preserve"> - Initial Product Costs</w:t>
      </w:r>
      <w:bookmarkEnd w:id="18"/>
    </w:p>
    <w:p w:rsidR="00561D70" w:rsidRDefault="00561D70" w:rsidP="00561D70"/>
    <w:p w:rsidR="00CB4B7F" w:rsidRPr="00561D70" w:rsidRDefault="00CB4B7F" w:rsidP="00561D70"/>
    <w:p w:rsidR="00561D70" w:rsidRPr="00561D70" w:rsidRDefault="00561D70" w:rsidP="00561D70">
      <w:pPr>
        <w:numPr>
          <w:ilvl w:val="1"/>
          <w:numId w:val="1"/>
        </w:numPr>
        <w:rPr>
          <w:b/>
          <w:bCs/>
        </w:rPr>
      </w:pPr>
      <w:bookmarkStart w:id="19" w:name="_Toc214783697"/>
      <w:bookmarkStart w:id="20" w:name="_Toc216514675"/>
      <w:r w:rsidRPr="00561D70">
        <w:rPr>
          <w:b/>
          <w:bCs/>
        </w:rPr>
        <w:t>Cash Flow Analysis</w:t>
      </w:r>
      <w:bookmarkEnd w:id="19"/>
      <w:bookmarkEnd w:id="20"/>
    </w:p>
    <w:p w:rsidR="00561D70" w:rsidRPr="00561D70" w:rsidRDefault="00561D70" w:rsidP="00561D70">
      <w:r w:rsidRPr="00561D70">
        <w:t>Our initial R&amp;D costs will be approximately $5</w:t>
      </w:r>
      <w:r w:rsidR="00086578">
        <w:t>25</w:t>
      </w:r>
      <w:r w:rsidRPr="00561D70">
        <w:t>,000 with a maximum exposure of approximately $6</w:t>
      </w:r>
      <w:r w:rsidR="00086578">
        <w:t>00</w:t>
      </w:r>
      <w:r w:rsidRPr="00561D70">
        <w:t>,</w:t>
      </w:r>
      <w:r w:rsidR="00086578">
        <w:t>5</w:t>
      </w:r>
      <w:r w:rsidRPr="00561D70">
        <w:t>00</w:t>
      </w:r>
      <w:r w:rsidR="00DA72F6" w:rsidRPr="00561D70">
        <w:t xml:space="preserve">.  </w:t>
      </w:r>
      <w:r w:rsidRPr="00561D70">
        <w:t xml:space="preserve">It will take about one year to complete the development activities of </w:t>
      </w:r>
      <w:r w:rsidR="00086578">
        <w:t>SSES</w:t>
      </w:r>
      <w:r w:rsidRPr="00561D70">
        <w:t xml:space="preserve">.  The </w:t>
      </w:r>
      <w:r w:rsidR="00086578">
        <w:t>SSES</w:t>
      </w:r>
      <w:r w:rsidRPr="00561D70">
        <w:t xml:space="preserve"> team’s objective is </w:t>
      </w:r>
      <w:r w:rsidR="00086578" w:rsidRPr="00561D70">
        <w:t xml:space="preserve">initially </w:t>
      </w:r>
      <w:r w:rsidRPr="00561D70">
        <w:t xml:space="preserve">to sell </w:t>
      </w:r>
      <w:r w:rsidR="00086578">
        <w:t>systems for $</w:t>
      </w:r>
      <w:r w:rsidR="00CB4B7F">
        <w:t>3</w:t>
      </w:r>
      <w:r w:rsidR="00086578">
        <w:t>5,000</w:t>
      </w:r>
      <w:r w:rsidR="00086578" w:rsidRPr="00561D70">
        <w:t xml:space="preserve">.  </w:t>
      </w:r>
      <w:r w:rsidRPr="00561D70">
        <w:t xml:space="preserve">This kit will be aimed towards </w:t>
      </w:r>
      <w:r w:rsidR="00086578">
        <w:t>military and government installations</w:t>
      </w:r>
      <w:r w:rsidRPr="00561D70">
        <w:t xml:space="preserve">.  </w:t>
      </w:r>
      <w:r w:rsidR="00086578">
        <w:t xml:space="preserve">During Phase 2, we will </w:t>
      </w:r>
      <w:r w:rsidR="00086578" w:rsidRPr="00561D70">
        <w:t>grow</w:t>
      </w:r>
      <w:r w:rsidRPr="00561D70">
        <w:t xml:space="preserve"> our business to a larger customer base</w:t>
      </w:r>
      <w:r w:rsidR="00086578">
        <w:t xml:space="preserve">, including sensitive sites as designated by DHS.  </w:t>
      </w:r>
      <w:r w:rsidR="00FA0E66">
        <w:t xml:space="preserve">During Phase 3, we will open our sales efforts to commercial and industrial interests.  Associated costs with sales will be travel to specific sites as part of an initial site survey.  </w:t>
      </w:r>
      <w:r w:rsidRPr="00561D70">
        <w:t xml:space="preserve">We anticipate that during phase 1, the first 3 years, we will have </w:t>
      </w:r>
      <w:r w:rsidR="00FA0E66">
        <w:t>5</w:t>
      </w:r>
      <w:r w:rsidRPr="00561D70">
        <w:t>0% growth</w:t>
      </w:r>
      <w:r w:rsidR="00FA0E66" w:rsidRPr="00561D70">
        <w:t>.</w:t>
      </w:r>
      <w:r w:rsidR="00FA0E66">
        <w:t xml:space="preserve">  </w:t>
      </w:r>
      <w:r w:rsidRPr="00561D70">
        <w:t xml:space="preserve">We expect to sell at least five </w:t>
      </w:r>
      <w:r w:rsidR="00FA0E66">
        <w:t>systems</w:t>
      </w:r>
      <w:r w:rsidRPr="00561D70">
        <w:t xml:space="preserve"> the first </w:t>
      </w:r>
      <w:r w:rsidR="00086578" w:rsidRPr="00561D70">
        <w:t>year, which</w:t>
      </w:r>
      <w:r w:rsidRPr="00561D70">
        <w:t xml:space="preserve"> will allow our initial product sales to be $</w:t>
      </w:r>
      <w:r w:rsidR="00DC2842">
        <w:t>17</w:t>
      </w:r>
      <w:r w:rsidR="00FA0E66">
        <w:t>5,000</w:t>
      </w:r>
      <w:r w:rsidR="00086578" w:rsidRPr="00561D70">
        <w:t xml:space="preserve">.  </w:t>
      </w:r>
      <w:r w:rsidR="00FA0E66">
        <w:t>During Phase 2 and 3, we expect 80% and 100% growth respectively</w:t>
      </w:r>
      <w:r w:rsidR="00AD6F70">
        <w:t>, as shown in Figure _</w:t>
      </w:r>
      <w:r w:rsidR="00FA0E66">
        <w:t xml:space="preserve">.  </w:t>
      </w:r>
      <w:r w:rsidRPr="00561D70">
        <w:t xml:space="preserve">After about 10 years, we hope to establish larger orders.  </w:t>
      </w:r>
      <w:r w:rsidR="00202EDF">
        <w:t xml:space="preserve">Funds are allocated for additional R&amp;D throughout all phases to retain a competitive advantage over other companies who may be late in arriving to the intruder detection analysis field. </w:t>
      </w:r>
    </w:p>
    <w:p w:rsidR="00561D70" w:rsidRDefault="00561D70" w:rsidP="00561D70"/>
    <w:p w:rsidR="00C4068C" w:rsidRDefault="00C4068C" w:rsidP="00561D70"/>
    <w:p w:rsidR="00A064AD" w:rsidRDefault="003478B4" w:rsidP="00561D70">
      <w:r>
        <w:fldChar w:fldCharType="begin"/>
      </w:r>
      <w:r w:rsidR="00A064AD">
        <w:instrText xml:space="preserve"> LINK </w:instrText>
      </w:r>
      <w:r w:rsidR="001247AE">
        <w:instrText xml:space="preserve">Excel.Sheet.8 "C:\\Users\\Allyson\\Desktop\\Cash Flow SSES 2.0.xls" "Assumptions &amp; Output!R1C2:R14C5" </w:instrText>
      </w:r>
      <w:r w:rsidR="00A064AD">
        <w:instrText xml:space="preserve">\a \f 4 \h </w:instrText>
      </w:r>
      <w:r>
        <w:fldChar w:fldCharType="separate"/>
      </w:r>
    </w:p>
    <w:tbl>
      <w:tblPr>
        <w:tblW w:w="6700" w:type="dxa"/>
        <w:tblInd w:w="93" w:type="dxa"/>
        <w:tblLook w:val="04A0"/>
      </w:tblPr>
      <w:tblGrid>
        <w:gridCol w:w="3220"/>
        <w:gridCol w:w="1160"/>
        <w:gridCol w:w="1160"/>
        <w:gridCol w:w="1160"/>
      </w:tblGrid>
      <w:tr w:rsidR="00A064AD" w:rsidRPr="008F0F3C" w:rsidTr="00A064AD">
        <w:trPr>
          <w:divId w:val="1136294710"/>
          <w:trHeight w:val="25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b/>
                <w:bCs/>
                <w:sz w:val="20"/>
                <w:szCs w:val="20"/>
              </w:rPr>
            </w:pPr>
            <w:r w:rsidRPr="00A064AD">
              <w:rPr>
                <w:rFonts w:ascii="Arial" w:eastAsia="Times New Roman" w:hAnsi="Arial" w:cs="Arial"/>
                <w:b/>
                <w:bCs/>
                <w:sz w:val="20"/>
                <w:szCs w:val="20"/>
              </w:rPr>
              <w:lastRenderedPageBreak/>
              <w:t>Inputs / assumptions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Initial Demand</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Initial license sales*</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175000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*includes training fee</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*includes consulting fee</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Phase 1</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Phase 2</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Phase 3</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License sales growth</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50%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80%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100%</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Wages / salaries</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200000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300000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400000</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Marketing costs</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80000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100000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150000</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Payment processing fee</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4.5%</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r w:rsidR="00A064AD" w:rsidRPr="008F0F3C" w:rsidTr="00A064AD">
        <w:trPr>
          <w:divId w:val="1136294710"/>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Discount rate</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jc w:val="right"/>
              <w:rPr>
                <w:rFonts w:ascii="Arial" w:eastAsia="Times New Roman" w:hAnsi="Arial" w:cs="Arial"/>
                <w:sz w:val="20"/>
                <w:szCs w:val="20"/>
              </w:rPr>
            </w:pPr>
            <w:r w:rsidRPr="00A064AD">
              <w:rPr>
                <w:rFonts w:ascii="Arial" w:eastAsia="Times New Roman" w:hAnsi="Arial" w:cs="Arial"/>
                <w:sz w:val="20"/>
                <w:szCs w:val="20"/>
              </w:rPr>
              <w:t>10.0%</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A064AD" w:rsidRPr="00A064AD" w:rsidRDefault="00A064AD" w:rsidP="00A064AD">
            <w:pPr>
              <w:rPr>
                <w:rFonts w:ascii="Arial" w:eastAsia="Times New Roman" w:hAnsi="Arial" w:cs="Arial"/>
                <w:sz w:val="20"/>
                <w:szCs w:val="20"/>
              </w:rPr>
            </w:pPr>
            <w:r w:rsidRPr="00A064AD">
              <w:rPr>
                <w:rFonts w:ascii="Arial" w:eastAsia="Times New Roman" w:hAnsi="Arial" w:cs="Arial"/>
                <w:sz w:val="20"/>
                <w:szCs w:val="20"/>
              </w:rPr>
              <w:t> </w:t>
            </w:r>
          </w:p>
        </w:tc>
      </w:tr>
    </w:tbl>
    <w:p w:rsidR="00CB4B7F" w:rsidRPr="00561D70" w:rsidRDefault="003478B4" w:rsidP="00561D70">
      <w:r>
        <w:fldChar w:fldCharType="end"/>
      </w:r>
    </w:p>
    <w:p w:rsidR="00561D70" w:rsidRPr="00561D70" w:rsidRDefault="00561D70" w:rsidP="00561D70">
      <w:pPr>
        <w:rPr>
          <w:b/>
          <w:bCs/>
        </w:rPr>
      </w:pPr>
      <w:bookmarkStart w:id="21" w:name="_Toc216514840"/>
      <w:r w:rsidRPr="00561D70">
        <w:rPr>
          <w:b/>
          <w:bCs/>
        </w:rPr>
        <w:t xml:space="preserve">Figure </w:t>
      </w:r>
      <w:r w:rsidR="003478B4" w:rsidRPr="003478B4">
        <w:rPr>
          <w:b/>
          <w:bCs/>
        </w:rPr>
        <w:fldChar w:fldCharType="begin"/>
      </w:r>
      <w:r w:rsidRPr="00561D70">
        <w:rPr>
          <w:b/>
          <w:bCs/>
        </w:rPr>
        <w:instrText xml:space="preserve"> SEQ Figure \* ARABIC </w:instrText>
      </w:r>
      <w:r w:rsidR="003478B4" w:rsidRPr="003478B4">
        <w:rPr>
          <w:b/>
          <w:bCs/>
        </w:rPr>
        <w:fldChar w:fldCharType="separate"/>
      </w:r>
      <w:r w:rsidR="009365C4">
        <w:rPr>
          <w:b/>
          <w:bCs/>
          <w:noProof/>
        </w:rPr>
        <w:t>3</w:t>
      </w:r>
      <w:r w:rsidR="003478B4" w:rsidRPr="00561D70">
        <w:fldChar w:fldCharType="end"/>
      </w:r>
      <w:r w:rsidRPr="00561D70">
        <w:rPr>
          <w:b/>
          <w:bCs/>
        </w:rPr>
        <w:t xml:space="preserve"> </w:t>
      </w:r>
      <w:r w:rsidR="00086578">
        <w:rPr>
          <w:b/>
          <w:bCs/>
        </w:rPr>
        <w:t>–</w:t>
      </w:r>
      <w:r w:rsidRPr="00561D70">
        <w:rPr>
          <w:b/>
          <w:bCs/>
        </w:rPr>
        <w:t xml:space="preserve"> </w:t>
      </w:r>
      <w:r w:rsidR="00086578">
        <w:rPr>
          <w:b/>
          <w:bCs/>
        </w:rPr>
        <w:t xml:space="preserve">Ten </w:t>
      </w:r>
      <w:r w:rsidRPr="00561D70">
        <w:rPr>
          <w:b/>
          <w:bCs/>
        </w:rPr>
        <w:t>Year Cash Flow Baseline</w:t>
      </w:r>
      <w:bookmarkEnd w:id="21"/>
    </w:p>
    <w:p w:rsidR="00561D70" w:rsidRDefault="00561D70" w:rsidP="00561D70">
      <w:pPr>
        <w:rPr>
          <w:bCs/>
        </w:rPr>
      </w:pPr>
    </w:p>
    <w:p w:rsidR="00AD6F70" w:rsidRDefault="00AD6F70" w:rsidP="00AD6F70"/>
    <w:p w:rsidR="00AD6F70" w:rsidRDefault="00AD6F70" w:rsidP="00AD6F70">
      <w:r>
        <w:t>Figure _ shows the influence diagram that was generated using DPL.  This deterministic model shows the main factors that affect the Net Present Value (NPV).  The NPV expected value was calculated by DPL to be $</w:t>
      </w:r>
      <w:r w:rsidRPr="00AD6F70">
        <w:t>27,381,512</w:t>
      </w:r>
      <w:r>
        <w:t>.  This NPV expected value is based on a 10-year period.</w:t>
      </w:r>
    </w:p>
    <w:p w:rsidR="00AD6F70" w:rsidRDefault="00AD6F70" w:rsidP="00AD6F70"/>
    <w:p w:rsidR="00561D70" w:rsidRDefault="00AD6F70" w:rsidP="00561D70">
      <w:r>
        <w:t xml:space="preserve">  </w:t>
      </w:r>
    </w:p>
    <w:p w:rsidR="00FA0E66" w:rsidRDefault="00F10754" w:rsidP="00561D70">
      <w:r>
        <w:rPr>
          <w:noProof/>
        </w:rPr>
        <w:drawing>
          <wp:inline distT="0" distB="0" distL="0" distR="0">
            <wp:extent cx="4022090" cy="3129915"/>
            <wp:effectExtent l="1905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l="46796" t="10770" r="22755" b="51282"/>
                    <a:stretch>
                      <a:fillRect/>
                    </a:stretch>
                  </pic:blipFill>
                  <pic:spPr bwMode="auto">
                    <a:xfrm>
                      <a:off x="0" y="0"/>
                      <a:ext cx="4022090" cy="3129915"/>
                    </a:xfrm>
                    <a:prstGeom prst="rect">
                      <a:avLst/>
                    </a:prstGeom>
                    <a:noFill/>
                    <a:ln w="9525">
                      <a:noFill/>
                      <a:miter lim="800000"/>
                      <a:headEnd/>
                      <a:tailEnd/>
                    </a:ln>
                  </pic:spPr>
                </pic:pic>
              </a:graphicData>
            </a:graphic>
          </wp:inline>
        </w:drawing>
      </w:r>
    </w:p>
    <w:p w:rsidR="00115D90" w:rsidRPr="00561D70" w:rsidRDefault="00115D90" w:rsidP="00561D70"/>
    <w:p w:rsidR="00561D70" w:rsidRDefault="00561D70" w:rsidP="00561D70">
      <w:pPr>
        <w:rPr>
          <w:b/>
          <w:bCs/>
        </w:rPr>
      </w:pPr>
      <w:bookmarkStart w:id="22" w:name="_Toc216514841"/>
      <w:r w:rsidRPr="00561D70">
        <w:rPr>
          <w:b/>
          <w:bCs/>
        </w:rPr>
        <w:t xml:space="preserve">Figure </w:t>
      </w:r>
      <w:r w:rsidR="003478B4" w:rsidRPr="003478B4">
        <w:rPr>
          <w:b/>
          <w:bCs/>
        </w:rPr>
        <w:fldChar w:fldCharType="begin"/>
      </w:r>
      <w:r w:rsidRPr="00561D70">
        <w:rPr>
          <w:b/>
          <w:bCs/>
        </w:rPr>
        <w:instrText xml:space="preserve"> SEQ Figure \* ARABIC </w:instrText>
      </w:r>
      <w:r w:rsidR="003478B4" w:rsidRPr="003478B4">
        <w:rPr>
          <w:b/>
          <w:bCs/>
        </w:rPr>
        <w:fldChar w:fldCharType="separate"/>
      </w:r>
      <w:r w:rsidR="009365C4">
        <w:rPr>
          <w:b/>
          <w:bCs/>
          <w:noProof/>
        </w:rPr>
        <w:t>4</w:t>
      </w:r>
      <w:r w:rsidR="003478B4" w:rsidRPr="00561D70">
        <w:fldChar w:fldCharType="end"/>
      </w:r>
      <w:r w:rsidRPr="00561D70">
        <w:rPr>
          <w:b/>
          <w:bCs/>
        </w:rPr>
        <w:t xml:space="preserve"> - Influence Diagram</w:t>
      </w:r>
      <w:bookmarkEnd w:id="22"/>
      <w:r w:rsidR="00067DE5">
        <w:rPr>
          <w:b/>
          <w:bCs/>
        </w:rPr>
        <w:t xml:space="preserve"> </w:t>
      </w:r>
    </w:p>
    <w:p w:rsidR="00115D90" w:rsidRDefault="00115D90" w:rsidP="00561D70">
      <w:pPr>
        <w:rPr>
          <w:b/>
          <w:bCs/>
        </w:rPr>
      </w:pPr>
    </w:p>
    <w:p w:rsidR="00115D90" w:rsidRDefault="00115D90" w:rsidP="00561D70">
      <w:pPr>
        <w:rPr>
          <w:bCs/>
        </w:rPr>
      </w:pPr>
    </w:p>
    <w:p w:rsidR="00561D70" w:rsidRDefault="00561D70" w:rsidP="00561D70">
      <w:pPr>
        <w:rPr>
          <w:bCs/>
        </w:rPr>
      </w:pPr>
      <w:r w:rsidRPr="00561D70">
        <w:rPr>
          <w:bCs/>
        </w:rPr>
        <w:t xml:space="preserve">The Business Case in Appendix </w:t>
      </w:r>
      <w:r w:rsidR="00AB6111">
        <w:rPr>
          <w:bCs/>
        </w:rPr>
        <w:t>_</w:t>
      </w:r>
      <w:r w:rsidRPr="00561D70">
        <w:rPr>
          <w:bCs/>
        </w:rPr>
        <w:t xml:space="preserve"> and Figure </w:t>
      </w:r>
      <w:r w:rsidR="00AB6111">
        <w:rPr>
          <w:bCs/>
        </w:rPr>
        <w:t>_</w:t>
      </w:r>
      <w:r w:rsidRPr="00561D70">
        <w:rPr>
          <w:bCs/>
        </w:rPr>
        <w:t xml:space="preserve"> below details our expected profit and loss over the next 10 years</w:t>
      </w:r>
      <w:r w:rsidR="00FA0E66" w:rsidRPr="00561D70">
        <w:rPr>
          <w:bCs/>
        </w:rPr>
        <w:t xml:space="preserve">.  </w:t>
      </w:r>
      <w:r w:rsidRPr="00561D70">
        <w:rPr>
          <w:bCs/>
        </w:rPr>
        <w:t xml:space="preserve">After 10 years, we expect to sell </w:t>
      </w:r>
      <w:r w:rsidR="00FA0E66">
        <w:rPr>
          <w:bCs/>
        </w:rPr>
        <w:t>2319</w:t>
      </w:r>
      <w:r w:rsidRPr="00561D70">
        <w:rPr>
          <w:bCs/>
        </w:rPr>
        <w:t xml:space="preserve"> </w:t>
      </w:r>
      <w:r w:rsidR="00FA0E66">
        <w:rPr>
          <w:bCs/>
        </w:rPr>
        <w:t>systems</w:t>
      </w:r>
      <w:r w:rsidRPr="00561D70">
        <w:rPr>
          <w:bCs/>
        </w:rPr>
        <w:t xml:space="preserve"> resulting in total revenue of $</w:t>
      </w:r>
      <w:r w:rsidR="00AD6F70">
        <w:rPr>
          <w:bCs/>
        </w:rPr>
        <w:t>74</w:t>
      </w:r>
      <w:r w:rsidR="004F5B30">
        <w:rPr>
          <w:bCs/>
        </w:rPr>
        <w:t>,</w:t>
      </w:r>
      <w:r w:rsidR="00AD6F70">
        <w:rPr>
          <w:bCs/>
        </w:rPr>
        <w:t>002</w:t>
      </w:r>
      <w:r w:rsidR="004F5B30">
        <w:rPr>
          <w:bCs/>
        </w:rPr>
        <w:t>,</w:t>
      </w:r>
      <w:r w:rsidR="00AD6F70">
        <w:rPr>
          <w:bCs/>
        </w:rPr>
        <w:t>600</w:t>
      </w:r>
      <w:r w:rsidRPr="00561D70">
        <w:rPr>
          <w:bCs/>
        </w:rPr>
        <w:t xml:space="preserve">.  In year </w:t>
      </w:r>
      <w:r w:rsidR="004F5B30">
        <w:rPr>
          <w:bCs/>
        </w:rPr>
        <w:t>3</w:t>
      </w:r>
      <w:r w:rsidRPr="00561D70">
        <w:rPr>
          <w:bCs/>
        </w:rPr>
        <w:t>, we begin to see a positive profit.</w:t>
      </w:r>
    </w:p>
    <w:p w:rsidR="00067DE5" w:rsidRPr="00561D70" w:rsidRDefault="00067DE5" w:rsidP="00561D70">
      <w:pPr>
        <w:rPr>
          <w:bCs/>
        </w:rPr>
      </w:pPr>
    </w:p>
    <w:p w:rsidR="00561D70" w:rsidRPr="00561D70" w:rsidRDefault="003478B4" w:rsidP="00561D70">
      <w:pPr>
        <w:rPr>
          <w:bCs/>
        </w:rPr>
      </w:pPr>
      <w:r w:rsidRPr="003478B4">
        <w:rPr>
          <w:b/>
          <w:bCs/>
        </w:rPr>
        <w:pict>
          <v:shapetype id="_x0000_t202" coordsize="21600,21600" o:spt="202" path="m,l,21600r21600,l21600,xe">
            <v:stroke joinstyle="miter"/>
            <v:path gradientshapeok="t" o:connecttype="rect"/>
          </v:shapetype>
          <v:shape id="_x0000_s1027" type="#_x0000_t202" style="position:absolute;margin-left:556.5pt;margin-top:12pt;width:138pt;height:46.45pt;z-index:251657728" stroked="f">
            <v:textbox style="mso-next-textbox:#_x0000_s1027">
              <w:txbxContent>
                <w:p w:rsidR="002D77D6" w:rsidRPr="00F8625E" w:rsidRDefault="002D77D6" w:rsidP="00561D70">
                  <w:pPr>
                    <w:rPr>
                      <w:sz w:val="18"/>
                      <w:szCs w:val="18"/>
                    </w:rPr>
                  </w:pPr>
                  <w:r>
                    <w:t>Positive Profit Point</w:t>
                  </w:r>
                </w:p>
              </w:txbxContent>
            </v:textbox>
          </v:shape>
        </w:pict>
      </w:r>
    </w:p>
    <w:p w:rsidR="00067DE5" w:rsidRDefault="00F10754" w:rsidP="00561D70">
      <w:r>
        <w:rPr>
          <w:noProof/>
        </w:rPr>
        <w:drawing>
          <wp:inline distT="0" distB="0" distL="0" distR="0">
            <wp:extent cx="5943600" cy="195961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1959610"/>
                    </a:xfrm>
                    <a:prstGeom prst="rect">
                      <a:avLst/>
                    </a:prstGeom>
                    <a:noFill/>
                    <a:ln w="9525">
                      <a:noFill/>
                      <a:miter lim="800000"/>
                      <a:headEnd/>
                      <a:tailEnd/>
                    </a:ln>
                  </pic:spPr>
                </pic:pic>
              </a:graphicData>
            </a:graphic>
          </wp:inline>
        </w:drawing>
      </w:r>
    </w:p>
    <w:p w:rsidR="00CB4B7F" w:rsidRPr="00561D70" w:rsidRDefault="00CB4B7F" w:rsidP="00CB4B7F">
      <w:pPr>
        <w:rPr>
          <w:b/>
          <w:bCs/>
        </w:rPr>
      </w:pPr>
      <w:r w:rsidRPr="00561D70">
        <w:rPr>
          <w:b/>
          <w:bCs/>
        </w:rPr>
        <w:t xml:space="preserve">Figure </w:t>
      </w:r>
      <w:r w:rsidR="003478B4" w:rsidRPr="003478B4">
        <w:rPr>
          <w:b/>
          <w:bCs/>
        </w:rPr>
        <w:fldChar w:fldCharType="begin"/>
      </w:r>
      <w:r w:rsidRPr="00561D70">
        <w:rPr>
          <w:b/>
          <w:bCs/>
        </w:rPr>
        <w:instrText xml:space="preserve"> SEQ Figure \* ARABIC </w:instrText>
      </w:r>
      <w:r w:rsidR="003478B4" w:rsidRPr="003478B4">
        <w:rPr>
          <w:b/>
          <w:bCs/>
        </w:rPr>
        <w:fldChar w:fldCharType="separate"/>
      </w:r>
      <w:r w:rsidR="009365C4">
        <w:rPr>
          <w:b/>
          <w:bCs/>
          <w:noProof/>
        </w:rPr>
        <w:t>5</w:t>
      </w:r>
      <w:r w:rsidR="003478B4" w:rsidRPr="00561D70">
        <w:fldChar w:fldCharType="end"/>
      </w:r>
      <w:r w:rsidRPr="00561D70">
        <w:rPr>
          <w:b/>
          <w:bCs/>
        </w:rPr>
        <w:t xml:space="preserve"> - Profit and Loss Analysis</w:t>
      </w:r>
    </w:p>
    <w:p w:rsidR="00CB4B7F" w:rsidRDefault="00CB4B7F" w:rsidP="00CB4B7F"/>
    <w:p w:rsidR="00AB6111" w:rsidRDefault="003478B4" w:rsidP="00561D70">
      <w:r>
        <w:pict>
          <v:line id="_x0000_s1026" style="position:absolute;flip:x y;z-index:251656704" from="577.5pt,1.5pt" to="607.5pt,43.5pt">
            <v:stroke endarrow="block"/>
          </v:line>
        </w:pict>
      </w:r>
    </w:p>
    <w:p w:rsidR="00AB6111" w:rsidRDefault="00AD6F70" w:rsidP="00561D70">
      <w:r>
        <w:t xml:space="preserve">Figure _ shows the values for our baseline </w:t>
      </w:r>
      <w:proofErr w:type="spellStart"/>
      <w:r>
        <w:t>cashflow</w:t>
      </w:r>
      <w:proofErr w:type="spellEnd"/>
      <w:r>
        <w:t xml:space="preserve"> chart.  We expect to achieve the breakeven point between year 4 and 5.  </w:t>
      </w:r>
    </w:p>
    <w:p w:rsidR="00067DE5" w:rsidRDefault="00067DE5" w:rsidP="00561D70"/>
    <w:p w:rsidR="00067DE5" w:rsidRDefault="00067DE5" w:rsidP="00561D70">
      <w:pPr>
        <w:rPr>
          <w:b/>
        </w:rPr>
      </w:pPr>
      <w:r w:rsidRPr="00067DE5">
        <w:rPr>
          <w:b/>
        </w:rPr>
        <w:t xml:space="preserve">Baseline </w:t>
      </w:r>
      <w:proofErr w:type="spellStart"/>
      <w:r w:rsidRPr="00067DE5">
        <w:rPr>
          <w:b/>
        </w:rPr>
        <w:t>Cashflow</w:t>
      </w:r>
      <w:proofErr w:type="spellEnd"/>
      <w:r w:rsidRPr="00067DE5">
        <w:rPr>
          <w:b/>
        </w:rPr>
        <w:t xml:space="preserve"> Chart</w:t>
      </w:r>
      <w:r>
        <w:rPr>
          <w:b/>
        </w:rPr>
        <w:t xml:space="preserve"> </w:t>
      </w:r>
    </w:p>
    <w:p w:rsidR="00067DE5" w:rsidRDefault="00067DE5" w:rsidP="00561D70">
      <w:pPr>
        <w:rPr>
          <w:b/>
        </w:rPr>
      </w:pPr>
    </w:p>
    <w:p w:rsidR="00A064AD" w:rsidRDefault="00F10754" w:rsidP="00561D70">
      <w:pPr>
        <w:rPr>
          <w:b/>
        </w:rPr>
      </w:pPr>
      <w:r>
        <w:rPr>
          <w:noProof/>
        </w:rPr>
        <w:drawing>
          <wp:inline distT="0" distB="0" distL="0" distR="0">
            <wp:extent cx="5943600" cy="43561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435610"/>
                    </a:xfrm>
                    <a:prstGeom prst="rect">
                      <a:avLst/>
                    </a:prstGeom>
                    <a:noFill/>
                    <a:ln w="9525">
                      <a:noFill/>
                      <a:miter lim="800000"/>
                      <a:headEnd/>
                      <a:tailEnd/>
                    </a:ln>
                  </pic:spPr>
                </pic:pic>
              </a:graphicData>
            </a:graphic>
          </wp:inline>
        </w:drawing>
      </w:r>
    </w:p>
    <w:p w:rsidR="00A064AD" w:rsidRPr="00BA10C9" w:rsidRDefault="00A064AD" w:rsidP="00561D70"/>
    <w:p w:rsidR="00BA10C9" w:rsidRDefault="00BA10C9" w:rsidP="00561D70">
      <w:r w:rsidRPr="00BA10C9">
        <w:t xml:space="preserve">The </w:t>
      </w:r>
      <w:r>
        <w:t xml:space="preserve">chart in Figure _ illustrates our yearly net cash, cumulative </w:t>
      </w:r>
      <w:r w:rsidR="00B33545">
        <w:t>cash flow</w:t>
      </w:r>
      <w:r>
        <w:t>, and baseline NPV for each year within the 10 year period.</w:t>
      </w:r>
    </w:p>
    <w:p w:rsidR="00BA10C9" w:rsidRDefault="00BA10C9" w:rsidP="00561D70"/>
    <w:p w:rsidR="00B06066" w:rsidRDefault="00B06066" w:rsidP="00561D70">
      <w:pPr>
        <w:rPr>
          <w:b/>
        </w:rPr>
      </w:pPr>
    </w:p>
    <w:p w:rsidR="00A064AD" w:rsidRDefault="00F10754" w:rsidP="00561D70">
      <w:pPr>
        <w:rPr>
          <w:b/>
        </w:rPr>
      </w:pPr>
      <w:r>
        <w:rPr>
          <w:b/>
          <w:noProof/>
        </w:rPr>
        <w:lastRenderedPageBreak/>
        <w:drawing>
          <wp:inline distT="0" distB="0" distL="0" distR="0">
            <wp:extent cx="5946902" cy="4064889"/>
            <wp:effectExtent l="12192" t="6096" r="6096"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1CE9" w:rsidRDefault="00111CE9" w:rsidP="00561D70"/>
    <w:p w:rsidR="00111CE9" w:rsidRDefault="00111CE9" w:rsidP="00561D70"/>
    <w:p w:rsidR="00BA10C9" w:rsidRPr="00BA10C9" w:rsidRDefault="00BA10C9" w:rsidP="00561D70">
      <w:r w:rsidRPr="00BA10C9">
        <w:t xml:space="preserve">We </w:t>
      </w:r>
      <w:r>
        <w:t xml:space="preserve">changed the deterministic model to a probabilistic model and created discrete chance nodes for </w:t>
      </w:r>
      <w:r w:rsidR="00B33545">
        <w:t xml:space="preserve">values of which </w:t>
      </w:r>
      <w:r>
        <w:t xml:space="preserve">the </w:t>
      </w:r>
      <w:r w:rsidR="00B33545">
        <w:t>team was</w:t>
      </w:r>
      <w:r>
        <w:t xml:space="preserve"> </w:t>
      </w:r>
      <w:r w:rsidR="00B33545">
        <w:t>uncertain</w:t>
      </w:r>
      <w:r>
        <w:t xml:space="preserve">.  The </w:t>
      </w:r>
      <w:r w:rsidR="00EB3270">
        <w:t xml:space="preserve">figure </w:t>
      </w:r>
      <w:r w:rsidR="00B33545">
        <w:t xml:space="preserve">below shows the decision tree created by DPL with three chance nodes.  DPL then calculates the expected value of the NPV using these discrete probability mass functions.  </w:t>
      </w:r>
    </w:p>
    <w:p w:rsidR="00BA10C9" w:rsidRDefault="00BA10C9" w:rsidP="00561D70">
      <w:pPr>
        <w:rPr>
          <w:b/>
        </w:rPr>
      </w:pPr>
    </w:p>
    <w:p w:rsidR="002A6BE9" w:rsidRDefault="00F10754" w:rsidP="00561D70">
      <w:pPr>
        <w:rPr>
          <w:b/>
        </w:rPr>
      </w:pPr>
      <w:r>
        <w:rPr>
          <w:b/>
          <w:noProof/>
        </w:rPr>
        <w:drawing>
          <wp:inline distT="0" distB="0" distL="0" distR="0">
            <wp:extent cx="4550410" cy="2345690"/>
            <wp:effectExtent l="19050" t="0" r="254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l="35255" t="53847" r="26282" b="14359"/>
                    <a:stretch>
                      <a:fillRect/>
                    </a:stretch>
                  </pic:blipFill>
                  <pic:spPr bwMode="auto">
                    <a:xfrm>
                      <a:off x="0" y="0"/>
                      <a:ext cx="4550410" cy="2345690"/>
                    </a:xfrm>
                    <a:prstGeom prst="rect">
                      <a:avLst/>
                    </a:prstGeom>
                    <a:noFill/>
                    <a:ln w="9525">
                      <a:noFill/>
                      <a:miter lim="800000"/>
                      <a:headEnd/>
                      <a:tailEnd/>
                    </a:ln>
                  </pic:spPr>
                </pic:pic>
              </a:graphicData>
            </a:graphic>
          </wp:inline>
        </w:drawing>
      </w:r>
    </w:p>
    <w:p w:rsidR="002A6BE9" w:rsidRDefault="00B33545" w:rsidP="00561D70">
      <w:pPr>
        <w:rPr>
          <w:b/>
        </w:rPr>
      </w:pPr>
      <w:r>
        <w:rPr>
          <w:b/>
        </w:rPr>
        <w:t>Figure _ Cash Flow model with 4 Discrete Change nodes</w:t>
      </w:r>
    </w:p>
    <w:p w:rsidR="00B33545" w:rsidRDefault="00B33545" w:rsidP="00561D70">
      <w:pPr>
        <w:rPr>
          <w:b/>
        </w:rPr>
      </w:pPr>
    </w:p>
    <w:p w:rsidR="009002A1" w:rsidRDefault="009002A1" w:rsidP="00561D70">
      <w:pPr>
        <w:rPr>
          <w:b/>
        </w:rPr>
      </w:pPr>
    </w:p>
    <w:p w:rsidR="009002A1" w:rsidRPr="00B33545" w:rsidRDefault="00B33545" w:rsidP="00561D70">
      <w:r w:rsidRPr="00B33545">
        <w:lastRenderedPageBreak/>
        <w:t>Depending on the</w:t>
      </w:r>
      <w:r w:rsidR="00A61733" w:rsidRPr="00B33545">
        <w:t xml:space="preserve"> initial </w:t>
      </w:r>
      <w:r w:rsidR="00A61733">
        <w:t>license</w:t>
      </w:r>
      <w:r w:rsidR="00A61733" w:rsidRPr="00B33545">
        <w:t xml:space="preserve"> sales</w:t>
      </w:r>
      <w:r w:rsidR="00A61733">
        <w:t xml:space="preserve"> and the growth of future </w:t>
      </w:r>
      <w:r>
        <w:t>license</w:t>
      </w:r>
      <w:r w:rsidRPr="00B33545">
        <w:t xml:space="preserve"> sales during </w:t>
      </w:r>
      <w:r w:rsidR="00A61733">
        <w:t>all three phases</w:t>
      </w:r>
      <w:r w:rsidRPr="00B33545">
        <w:t xml:space="preserve"> of our project, </w:t>
      </w:r>
      <w:r w:rsidR="00A61733">
        <w:t xml:space="preserve">the </w:t>
      </w:r>
      <w:r w:rsidRPr="00B33545">
        <w:t xml:space="preserve">NPV </w:t>
      </w:r>
      <w:r w:rsidR="00A61733">
        <w:t>has a large range of possible values</w:t>
      </w:r>
      <w:r w:rsidRPr="00B33545">
        <w:t>.  In Figure 19, DPL has created three probabilistic outcomes for Low, Nominal, and High</w:t>
      </w:r>
      <w:r w:rsidR="00A61733" w:rsidRPr="00B33545">
        <w:t xml:space="preserve">.  </w:t>
      </w:r>
      <w:r w:rsidRPr="00B33545">
        <w:t>We assigned probabilities of .3, .4, and .3 for the three chance outcomes</w:t>
      </w:r>
      <w:r w:rsidR="00A61733" w:rsidRPr="00B33545">
        <w:t xml:space="preserve">.  </w:t>
      </w:r>
      <w:r w:rsidR="00A61733">
        <w:t xml:space="preserve">The tree is truncated to two levels for simplicity’s sake, but the values shown reflect the calculations using all four discrete change nodes.  </w:t>
      </w:r>
      <w:r w:rsidRPr="00B33545">
        <w:t>The far left node displays the expected value of the product sales phase 1 growth: $</w:t>
      </w:r>
      <w:r w:rsidR="0004172B">
        <w:t>33</w:t>
      </w:r>
      <w:r w:rsidR="00A61733">
        <w:t>,</w:t>
      </w:r>
      <w:r w:rsidR="0004172B">
        <w:t>127</w:t>
      </w:r>
      <w:r w:rsidR="00A61733">
        <w:t>,</w:t>
      </w:r>
      <w:r w:rsidR="0004172B">
        <w:t>918</w:t>
      </w:r>
      <w:r w:rsidR="00A61733" w:rsidRPr="00B33545">
        <w:t xml:space="preserve">.  </w:t>
      </w:r>
      <w:r w:rsidRPr="00B33545">
        <w:t xml:space="preserve">The </w:t>
      </w:r>
      <w:r w:rsidR="0004172B" w:rsidRPr="00B33545">
        <w:t>worst-case</w:t>
      </w:r>
      <w:r w:rsidRPr="00B33545">
        <w:t xml:space="preserve"> scenario is </w:t>
      </w:r>
      <w:r w:rsidR="00A61733">
        <w:t xml:space="preserve">that both initial license sales and subsequent growth are low.  In this case, the </w:t>
      </w:r>
      <w:r w:rsidRPr="00B33545">
        <w:t>NPV will be -$</w:t>
      </w:r>
      <w:r w:rsidR="00A61733" w:rsidRPr="00A61733">
        <w:t xml:space="preserve"> -1</w:t>
      </w:r>
      <w:r w:rsidR="00A61733">
        <w:t>,</w:t>
      </w:r>
      <w:r w:rsidR="0004172B">
        <w:t>175</w:t>
      </w:r>
      <w:r w:rsidR="00A61733">
        <w:t>,</w:t>
      </w:r>
      <w:r w:rsidR="0004172B">
        <w:t>025</w:t>
      </w:r>
      <w:r w:rsidRPr="00B33545">
        <w:t xml:space="preserve">.  The </w:t>
      </w:r>
      <w:r w:rsidR="0004172B" w:rsidRPr="00B33545">
        <w:t>best-case</w:t>
      </w:r>
      <w:r w:rsidRPr="00B33545">
        <w:t xml:space="preserve"> scenario is </w:t>
      </w:r>
      <w:r w:rsidR="00A61733">
        <w:t>that both initial license sales and subsequent growth are high.  In this case</w:t>
      </w:r>
      <w:r w:rsidR="0004172B">
        <w:t xml:space="preserve">, </w:t>
      </w:r>
      <w:r w:rsidR="0004172B" w:rsidRPr="00B33545">
        <w:t>NPV</w:t>
      </w:r>
      <w:r w:rsidRPr="00B33545">
        <w:t xml:space="preserve"> will be $</w:t>
      </w:r>
      <w:r w:rsidR="0004172B">
        <w:t>182,308</w:t>
      </w:r>
      <w:r w:rsidR="00A61733">
        <w:t>,</w:t>
      </w:r>
      <w:r w:rsidR="0004172B">
        <w:t>868</w:t>
      </w:r>
      <w:r w:rsidR="00A61733" w:rsidRPr="00B33545">
        <w:t xml:space="preserve">.  </w:t>
      </w:r>
      <w:r w:rsidR="00A61733">
        <w:t>These two extremes are very unlikely – in all probability, the NPV will be closer to its calculated expected value.</w:t>
      </w:r>
    </w:p>
    <w:p w:rsidR="00B33545" w:rsidRDefault="00B33545" w:rsidP="00561D70">
      <w:pPr>
        <w:rPr>
          <w:b/>
        </w:rPr>
      </w:pPr>
    </w:p>
    <w:p w:rsidR="009002A1" w:rsidRDefault="00D50443" w:rsidP="00561D70">
      <w:pPr>
        <w:rPr>
          <w:b/>
        </w:rPr>
      </w:pPr>
      <w:r>
        <w:rPr>
          <w:b/>
          <w:noProof/>
        </w:rPr>
        <w:drawing>
          <wp:inline distT="0" distB="0" distL="0" distR="0">
            <wp:extent cx="4735195" cy="5573395"/>
            <wp:effectExtent l="19050" t="0" r="825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735195" cy="5573395"/>
                    </a:xfrm>
                    <a:prstGeom prst="rect">
                      <a:avLst/>
                    </a:prstGeom>
                    <a:noFill/>
                    <a:ln w="9525">
                      <a:noFill/>
                      <a:miter lim="800000"/>
                      <a:headEnd/>
                      <a:tailEnd/>
                    </a:ln>
                  </pic:spPr>
                </pic:pic>
              </a:graphicData>
            </a:graphic>
          </wp:inline>
        </w:drawing>
      </w:r>
    </w:p>
    <w:p w:rsidR="009002A1" w:rsidRDefault="00B33545" w:rsidP="00561D70">
      <w:pPr>
        <w:rPr>
          <w:b/>
        </w:rPr>
      </w:pPr>
      <w:r>
        <w:rPr>
          <w:b/>
        </w:rPr>
        <w:t>Figure _ - Policy Tree</w:t>
      </w:r>
    </w:p>
    <w:p w:rsidR="00B33545" w:rsidRDefault="00B33545" w:rsidP="00561D70">
      <w:pPr>
        <w:rPr>
          <w:b/>
        </w:rPr>
      </w:pPr>
    </w:p>
    <w:p w:rsidR="002D77D6" w:rsidRPr="0004172B" w:rsidRDefault="003478B4" w:rsidP="002D77D6">
      <w:r w:rsidRPr="003478B4">
        <w:t xml:space="preserve">The cumulative probability distribution of the NPV is shown in Figure _ below.  The probability of a negative NPV is approximately 2.5%.    </w:t>
      </w:r>
    </w:p>
    <w:p w:rsidR="002D77D6" w:rsidRDefault="002D77D6" w:rsidP="002D77D6">
      <w:pPr>
        <w:rPr>
          <w:b/>
        </w:rPr>
      </w:pPr>
    </w:p>
    <w:p w:rsidR="002D77D6" w:rsidRDefault="00D50443" w:rsidP="002D77D6">
      <w:pPr>
        <w:rPr>
          <w:b/>
        </w:rPr>
      </w:pPr>
      <w:r>
        <w:rPr>
          <w:b/>
          <w:noProof/>
        </w:rPr>
        <w:drawing>
          <wp:inline distT="0" distB="0" distL="0" distR="0">
            <wp:extent cx="5949315" cy="363029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9315" cy="3630295"/>
                    </a:xfrm>
                    <a:prstGeom prst="rect">
                      <a:avLst/>
                    </a:prstGeom>
                    <a:noFill/>
                    <a:ln w="9525">
                      <a:noFill/>
                      <a:miter lim="800000"/>
                      <a:headEnd/>
                      <a:tailEnd/>
                    </a:ln>
                  </pic:spPr>
                </pic:pic>
              </a:graphicData>
            </a:graphic>
          </wp:inline>
        </w:drawing>
      </w:r>
    </w:p>
    <w:p w:rsidR="002D77D6" w:rsidRDefault="002D77D6" w:rsidP="00561D70">
      <w:pPr>
        <w:rPr>
          <w:b/>
        </w:rPr>
      </w:pPr>
    </w:p>
    <w:p w:rsidR="002D77D6" w:rsidRDefault="00D50443" w:rsidP="00561D70">
      <w:pPr>
        <w:rPr>
          <w:b/>
        </w:rPr>
      </w:pPr>
      <w:r>
        <w:rPr>
          <w:b/>
          <w:noProof/>
        </w:rPr>
        <w:drawing>
          <wp:inline distT="0" distB="0" distL="0" distR="0">
            <wp:extent cx="2764790" cy="144208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31250" t="30000" r="31876" b="36000"/>
                    <a:stretch>
                      <a:fillRect/>
                    </a:stretch>
                  </pic:blipFill>
                  <pic:spPr bwMode="auto">
                    <a:xfrm>
                      <a:off x="0" y="0"/>
                      <a:ext cx="2764790" cy="1442085"/>
                    </a:xfrm>
                    <a:prstGeom prst="rect">
                      <a:avLst/>
                    </a:prstGeom>
                    <a:noFill/>
                    <a:ln w="9525">
                      <a:noFill/>
                      <a:miter lim="800000"/>
                      <a:headEnd/>
                      <a:tailEnd/>
                    </a:ln>
                  </pic:spPr>
                </pic:pic>
              </a:graphicData>
            </a:graphic>
          </wp:inline>
        </w:drawing>
      </w:r>
    </w:p>
    <w:p w:rsidR="002D77D6" w:rsidRDefault="002D77D6" w:rsidP="00561D70">
      <w:pPr>
        <w:rPr>
          <w:b/>
        </w:rPr>
      </w:pPr>
    </w:p>
    <w:p w:rsidR="00AB6111" w:rsidRDefault="00AB6111" w:rsidP="00561D70">
      <w:pPr>
        <w:rPr>
          <w:b/>
        </w:rPr>
      </w:pPr>
      <w:proofErr w:type="gramStart"/>
      <w:r>
        <w:rPr>
          <w:b/>
        </w:rPr>
        <w:t>1.7  Sensitivity</w:t>
      </w:r>
      <w:proofErr w:type="gramEnd"/>
      <w:r>
        <w:rPr>
          <w:b/>
        </w:rPr>
        <w:t xml:space="preserve"> Analysis.</w:t>
      </w:r>
    </w:p>
    <w:p w:rsidR="009D751F" w:rsidRDefault="009D751F" w:rsidP="00561D70">
      <w:pPr>
        <w:rPr>
          <w:b/>
        </w:rPr>
      </w:pPr>
    </w:p>
    <w:p w:rsidR="001C5972" w:rsidRPr="001C5972" w:rsidRDefault="001C5972" w:rsidP="00561D70">
      <w:r w:rsidRPr="001C5972">
        <w:t xml:space="preserve">A value tornado was created to help identify which variables in the cash flow baseline have the biggest impact on our objective function.  </w:t>
      </w:r>
      <w:r w:rsidR="00BD42F8">
        <w:t xml:space="preserve">The following table </w:t>
      </w:r>
      <w:r w:rsidRPr="001C5972">
        <w:t>shows</w:t>
      </w:r>
      <w:r w:rsidR="00111CE9">
        <w:t xml:space="preserve"> </w:t>
      </w:r>
      <w:r w:rsidRPr="001C5972">
        <w:t>the low</w:t>
      </w:r>
      <w:r w:rsidR="00BD42F8">
        <w:t>, nominal,</w:t>
      </w:r>
      <w:r w:rsidRPr="001C5972">
        <w:t xml:space="preserve"> and high settings for each of the value nodes that are constant in our current model.</w:t>
      </w:r>
    </w:p>
    <w:p w:rsidR="001C5972" w:rsidRDefault="001C5972" w:rsidP="00561D70">
      <w:pPr>
        <w:rPr>
          <w:b/>
        </w:rPr>
      </w:pPr>
    </w:p>
    <w:p w:rsidR="00C4068C" w:rsidRDefault="00C4068C" w:rsidP="00561D7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440"/>
        <w:gridCol w:w="1530"/>
        <w:gridCol w:w="1350"/>
      </w:tblGrid>
      <w:tr w:rsidR="00BD42F8" w:rsidRPr="008F0F3C" w:rsidTr="008F0F3C">
        <w:tc>
          <w:tcPr>
            <w:tcW w:w="2268" w:type="dxa"/>
          </w:tcPr>
          <w:p w:rsidR="00BD42F8" w:rsidRPr="008F0F3C" w:rsidRDefault="00BD42F8" w:rsidP="002D77D6">
            <w:pPr>
              <w:rPr>
                <w:b/>
              </w:rPr>
            </w:pPr>
          </w:p>
        </w:tc>
        <w:tc>
          <w:tcPr>
            <w:tcW w:w="1440" w:type="dxa"/>
          </w:tcPr>
          <w:p w:rsidR="00BD42F8" w:rsidRPr="008F0F3C" w:rsidRDefault="00BD42F8" w:rsidP="002D77D6">
            <w:pPr>
              <w:rPr>
                <w:b/>
              </w:rPr>
            </w:pPr>
            <w:r w:rsidRPr="008F0F3C">
              <w:rPr>
                <w:b/>
              </w:rPr>
              <w:t>LOW</w:t>
            </w:r>
          </w:p>
        </w:tc>
        <w:tc>
          <w:tcPr>
            <w:tcW w:w="1530" w:type="dxa"/>
          </w:tcPr>
          <w:p w:rsidR="00BD42F8" w:rsidRPr="008F0F3C" w:rsidRDefault="00BD42F8" w:rsidP="002D77D6">
            <w:pPr>
              <w:rPr>
                <w:b/>
              </w:rPr>
            </w:pPr>
            <w:r w:rsidRPr="008F0F3C">
              <w:rPr>
                <w:b/>
              </w:rPr>
              <w:t>NOMINAL</w:t>
            </w:r>
          </w:p>
        </w:tc>
        <w:tc>
          <w:tcPr>
            <w:tcW w:w="1350" w:type="dxa"/>
          </w:tcPr>
          <w:p w:rsidR="00BD42F8" w:rsidRPr="008F0F3C" w:rsidRDefault="00BD42F8" w:rsidP="002D77D6">
            <w:pPr>
              <w:rPr>
                <w:b/>
              </w:rPr>
            </w:pPr>
            <w:r w:rsidRPr="008F0F3C">
              <w:rPr>
                <w:b/>
              </w:rPr>
              <w:t>HIGH</w:t>
            </w:r>
          </w:p>
        </w:tc>
      </w:tr>
      <w:tr w:rsidR="00BD42F8" w:rsidRPr="008F0F3C" w:rsidTr="008F0F3C">
        <w:tc>
          <w:tcPr>
            <w:tcW w:w="2268" w:type="dxa"/>
          </w:tcPr>
          <w:p w:rsidR="00BD42F8" w:rsidRPr="008F0F3C" w:rsidRDefault="00BD42F8" w:rsidP="002D77D6">
            <w:pPr>
              <w:rPr>
                <w:b/>
              </w:rPr>
            </w:pPr>
            <w:r w:rsidRPr="008F0F3C">
              <w:rPr>
                <w:b/>
              </w:rPr>
              <w:t>INITIAL SALES</w:t>
            </w:r>
          </w:p>
        </w:tc>
        <w:tc>
          <w:tcPr>
            <w:tcW w:w="1440" w:type="dxa"/>
          </w:tcPr>
          <w:p w:rsidR="00BD42F8" w:rsidRPr="008F0F3C" w:rsidRDefault="00BD42F8" w:rsidP="002D77D6">
            <w:r w:rsidRPr="008F0F3C">
              <w:t>1</w:t>
            </w:r>
          </w:p>
        </w:tc>
        <w:tc>
          <w:tcPr>
            <w:tcW w:w="1530" w:type="dxa"/>
          </w:tcPr>
          <w:p w:rsidR="00BD42F8" w:rsidRPr="008F0F3C" w:rsidRDefault="00BD42F8" w:rsidP="002D77D6">
            <w:r w:rsidRPr="008F0F3C">
              <w:t>5</w:t>
            </w:r>
          </w:p>
        </w:tc>
        <w:tc>
          <w:tcPr>
            <w:tcW w:w="1350" w:type="dxa"/>
          </w:tcPr>
          <w:p w:rsidR="00BD42F8" w:rsidRPr="008F0F3C" w:rsidRDefault="00BD42F8" w:rsidP="002D77D6">
            <w:r w:rsidRPr="008F0F3C">
              <w:t>10</w:t>
            </w:r>
          </w:p>
        </w:tc>
      </w:tr>
      <w:tr w:rsidR="00BD42F8" w:rsidRPr="008F0F3C" w:rsidTr="008F0F3C">
        <w:tc>
          <w:tcPr>
            <w:tcW w:w="2268" w:type="dxa"/>
          </w:tcPr>
          <w:p w:rsidR="00BD42F8" w:rsidRPr="008F0F3C" w:rsidRDefault="00BD42F8" w:rsidP="002D77D6">
            <w:pPr>
              <w:rPr>
                <w:b/>
              </w:rPr>
            </w:pPr>
            <w:r w:rsidRPr="008F0F3C">
              <w:rPr>
                <w:b/>
              </w:rPr>
              <w:t>PHASE 1 GROWTH</w:t>
            </w:r>
          </w:p>
        </w:tc>
        <w:tc>
          <w:tcPr>
            <w:tcW w:w="1440" w:type="dxa"/>
          </w:tcPr>
          <w:p w:rsidR="00BD42F8" w:rsidRPr="008F0F3C" w:rsidRDefault="00BD42F8" w:rsidP="002D77D6">
            <w:r w:rsidRPr="008F0F3C">
              <w:t>25%</w:t>
            </w:r>
          </w:p>
        </w:tc>
        <w:tc>
          <w:tcPr>
            <w:tcW w:w="1530" w:type="dxa"/>
          </w:tcPr>
          <w:p w:rsidR="00BD42F8" w:rsidRPr="008F0F3C" w:rsidRDefault="001247AE" w:rsidP="002D77D6">
            <w:r w:rsidRPr="008F0F3C">
              <w:t>50</w:t>
            </w:r>
            <w:r w:rsidR="00BD42F8" w:rsidRPr="008F0F3C">
              <w:t>%</w:t>
            </w:r>
          </w:p>
        </w:tc>
        <w:tc>
          <w:tcPr>
            <w:tcW w:w="1350" w:type="dxa"/>
          </w:tcPr>
          <w:p w:rsidR="00BD42F8" w:rsidRPr="008F0F3C" w:rsidRDefault="001247AE" w:rsidP="002D77D6">
            <w:r w:rsidRPr="008F0F3C">
              <w:t>60</w:t>
            </w:r>
            <w:r w:rsidR="00BD42F8" w:rsidRPr="008F0F3C">
              <w:t>%</w:t>
            </w:r>
          </w:p>
        </w:tc>
      </w:tr>
      <w:tr w:rsidR="00BD42F8" w:rsidRPr="008F0F3C" w:rsidTr="008F0F3C">
        <w:tc>
          <w:tcPr>
            <w:tcW w:w="2268" w:type="dxa"/>
          </w:tcPr>
          <w:p w:rsidR="00BD42F8" w:rsidRPr="008F0F3C" w:rsidRDefault="00BD42F8" w:rsidP="002D77D6">
            <w:pPr>
              <w:rPr>
                <w:b/>
              </w:rPr>
            </w:pPr>
            <w:r w:rsidRPr="008F0F3C">
              <w:rPr>
                <w:b/>
              </w:rPr>
              <w:t>PHASE 2 GROWTH</w:t>
            </w:r>
          </w:p>
        </w:tc>
        <w:tc>
          <w:tcPr>
            <w:tcW w:w="1440" w:type="dxa"/>
          </w:tcPr>
          <w:p w:rsidR="00BD42F8" w:rsidRPr="008F0F3C" w:rsidRDefault="00BD42F8" w:rsidP="002D77D6">
            <w:r w:rsidRPr="008F0F3C">
              <w:t>50%</w:t>
            </w:r>
          </w:p>
        </w:tc>
        <w:tc>
          <w:tcPr>
            <w:tcW w:w="1530" w:type="dxa"/>
          </w:tcPr>
          <w:p w:rsidR="00BD42F8" w:rsidRPr="008F0F3C" w:rsidRDefault="00BD42F8" w:rsidP="002D77D6">
            <w:r w:rsidRPr="008F0F3C">
              <w:t>80%</w:t>
            </w:r>
          </w:p>
        </w:tc>
        <w:tc>
          <w:tcPr>
            <w:tcW w:w="1350" w:type="dxa"/>
          </w:tcPr>
          <w:p w:rsidR="00BD42F8" w:rsidRPr="008F0F3C" w:rsidRDefault="00BD42F8" w:rsidP="002D77D6">
            <w:r w:rsidRPr="008F0F3C">
              <w:t>100%</w:t>
            </w:r>
          </w:p>
        </w:tc>
      </w:tr>
      <w:tr w:rsidR="00BD42F8" w:rsidRPr="008F0F3C" w:rsidTr="008F0F3C">
        <w:tc>
          <w:tcPr>
            <w:tcW w:w="2268" w:type="dxa"/>
          </w:tcPr>
          <w:p w:rsidR="00BD42F8" w:rsidRPr="008F0F3C" w:rsidRDefault="00BD42F8" w:rsidP="002D77D6">
            <w:pPr>
              <w:rPr>
                <w:b/>
              </w:rPr>
            </w:pPr>
            <w:r w:rsidRPr="008F0F3C">
              <w:rPr>
                <w:b/>
              </w:rPr>
              <w:t>PHASE 3 GROWTH</w:t>
            </w:r>
          </w:p>
        </w:tc>
        <w:tc>
          <w:tcPr>
            <w:tcW w:w="1440" w:type="dxa"/>
          </w:tcPr>
          <w:p w:rsidR="00BD42F8" w:rsidRPr="008F0F3C" w:rsidRDefault="00BD42F8" w:rsidP="002D77D6">
            <w:r w:rsidRPr="008F0F3C">
              <w:t>75%</w:t>
            </w:r>
          </w:p>
        </w:tc>
        <w:tc>
          <w:tcPr>
            <w:tcW w:w="1530" w:type="dxa"/>
          </w:tcPr>
          <w:p w:rsidR="00BD42F8" w:rsidRPr="008F0F3C" w:rsidRDefault="00BD42F8" w:rsidP="002D77D6">
            <w:r w:rsidRPr="008F0F3C">
              <w:t>100%</w:t>
            </w:r>
          </w:p>
        </w:tc>
        <w:tc>
          <w:tcPr>
            <w:tcW w:w="1350" w:type="dxa"/>
          </w:tcPr>
          <w:p w:rsidR="00BD42F8" w:rsidRPr="008F0F3C" w:rsidRDefault="00BD42F8" w:rsidP="002D77D6">
            <w:r w:rsidRPr="008F0F3C">
              <w:t>150%</w:t>
            </w:r>
          </w:p>
        </w:tc>
      </w:tr>
    </w:tbl>
    <w:p w:rsidR="001C5972" w:rsidRDefault="001C5972" w:rsidP="00561D70">
      <w:pPr>
        <w:rPr>
          <w:b/>
        </w:rPr>
      </w:pPr>
    </w:p>
    <w:p w:rsidR="001C5972" w:rsidRDefault="001C5972" w:rsidP="00561D70">
      <w:pPr>
        <w:rPr>
          <w:b/>
        </w:rPr>
      </w:pPr>
    </w:p>
    <w:p w:rsidR="009D751F" w:rsidRDefault="009D751F" w:rsidP="00561D70">
      <w:r w:rsidRPr="009D751F">
        <w:lastRenderedPageBreak/>
        <w:t xml:space="preserve">The x-axis of the value </w:t>
      </w:r>
      <w:r w:rsidR="00EB3270">
        <w:t>t</w:t>
      </w:r>
      <w:r w:rsidRPr="009D751F">
        <w:t xml:space="preserve">ornado diagram (Figure </w:t>
      </w:r>
      <w:r w:rsidR="001C5972">
        <w:t>_</w:t>
      </w:r>
      <w:r w:rsidRPr="009D751F">
        <w:t>) displays the change in the objective function of the model. Each of the variables on the left is changed from the low setting to the high setting.</w:t>
      </w:r>
    </w:p>
    <w:p w:rsidR="00A61733" w:rsidRPr="009D751F" w:rsidRDefault="00A61733" w:rsidP="00561D70"/>
    <w:p w:rsidR="009D751F" w:rsidRDefault="00F10754" w:rsidP="00561D70">
      <w:pPr>
        <w:rPr>
          <w:b/>
        </w:rPr>
      </w:pPr>
      <w:r>
        <w:rPr>
          <w:b/>
          <w:noProof/>
        </w:rPr>
        <w:drawing>
          <wp:inline distT="0" distB="0" distL="0" distR="0">
            <wp:extent cx="5731510" cy="3369310"/>
            <wp:effectExtent l="19050" t="0" r="254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2340" t="11539" r="2885" b="8717"/>
                    <a:stretch>
                      <a:fillRect/>
                    </a:stretch>
                  </pic:blipFill>
                  <pic:spPr bwMode="auto">
                    <a:xfrm>
                      <a:off x="0" y="0"/>
                      <a:ext cx="5731510" cy="3369310"/>
                    </a:xfrm>
                    <a:prstGeom prst="rect">
                      <a:avLst/>
                    </a:prstGeom>
                    <a:noFill/>
                    <a:ln w="9525">
                      <a:noFill/>
                      <a:miter lim="800000"/>
                      <a:headEnd/>
                      <a:tailEnd/>
                    </a:ln>
                  </pic:spPr>
                </pic:pic>
              </a:graphicData>
            </a:graphic>
          </wp:inline>
        </w:drawing>
      </w:r>
    </w:p>
    <w:p w:rsidR="00D00477" w:rsidRDefault="00D00477" w:rsidP="00561D70">
      <w:pPr>
        <w:rPr>
          <w:b/>
        </w:rPr>
      </w:pPr>
    </w:p>
    <w:p w:rsidR="00D00477" w:rsidRDefault="00CA2E60" w:rsidP="00561D70">
      <w:pPr>
        <w:rPr>
          <w:b/>
        </w:rPr>
      </w:pPr>
      <w:r w:rsidRPr="00CA2E60">
        <w:t>This sensitivity analysis shows that the one variable that impacts future NPV is initial sales.  We will therefore focus on an aggressive initial marketing campaign that results in maximizing initial sales in year one.</w:t>
      </w:r>
      <w:r w:rsidR="002D77D6">
        <w:rPr>
          <w:b/>
        </w:rPr>
        <w:t xml:space="preserve">  </w:t>
      </w:r>
    </w:p>
    <w:sectPr w:rsidR="00D00477" w:rsidSect="004805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F3603"/>
    <w:multiLevelType w:val="multilevel"/>
    <w:tmpl w:val="F45C0ED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pStyle w:val="Heading4a"/>
      <w:lvlText w:val="%1.%2.%3.%4."/>
      <w:lvlJc w:val="left"/>
      <w:pPr>
        <w:tabs>
          <w:tab w:val="num" w:pos="0"/>
        </w:tabs>
        <w:ind w:left="2178" w:hanging="648"/>
      </w:pPr>
      <w:rPr>
        <w:rFonts w:cs="Times New Roman" w:hint="default"/>
        <w:i w:val="0"/>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trackRevisions/>
  <w:defaultTabStop w:val="720"/>
  <w:characterSpacingControl w:val="doNotCompress"/>
  <w:compat/>
  <w:rsids>
    <w:rsidRoot w:val="00561D70"/>
    <w:rsid w:val="0000730A"/>
    <w:rsid w:val="0004172B"/>
    <w:rsid w:val="00047474"/>
    <w:rsid w:val="00067DE5"/>
    <w:rsid w:val="00081A8B"/>
    <w:rsid w:val="00086578"/>
    <w:rsid w:val="000A170B"/>
    <w:rsid w:val="000A2314"/>
    <w:rsid w:val="00111CE9"/>
    <w:rsid w:val="00115D90"/>
    <w:rsid w:val="001247AE"/>
    <w:rsid w:val="00137625"/>
    <w:rsid w:val="00162A19"/>
    <w:rsid w:val="00191927"/>
    <w:rsid w:val="00195B52"/>
    <w:rsid w:val="001C5972"/>
    <w:rsid w:val="00202EDF"/>
    <w:rsid w:val="00227B81"/>
    <w:rsid w:val="002A6BE9"/>
    <w:rsid w:val="002D77D6"/>
    <w:rsid w:val="003478B4"/>
    <w:rsid w:val="003821B6"/>
    <w:rsid w:val="00396DDC"/>
    <w:rsid w:val="00397FFA"/>
    <w:rsid w:val="003F0983"/>
    <w:rsid w:val="004118DB"/>
    <w:rsid w:val="004308E5"/>
    <w:rsid w:val="0048052A"/>
    <w:rsid w:val="00493EEF"/>
    <w:rsid w:val="004F5B30"/>
    <w:rsid w:val="00551AC6"/>
    <w:rsid w:val="0055545D"/>
    <w:rsid w:val="00561D70"/>
    <w:rsid w:val="005D32E4"/>
    <w:rsid w:val="00612984"/>
    <w:rsid w:val="00623275"/>
    <w:rsid w:val="006475C6"/>
    <w:rsid w:val="0065660F"/>
    <w:rsid w:val="006A13E4"/>
    <w:rsid w:val="006D1325"/>
    <w:rsid w:val="006D5CBD"/>
    <w:rsid w:val="00701A6F"/>
    <w:rsid w:val="0072301F"/>
    <w:rsid w:val="007321B7"/>
    <w:rsid w:val="007527DB"/>
    <w:rsid w:val="00765930"/>
    <w:rsid w:val="00771556"/>
    <w:rsid w:val="00795027"/>
    <w:rsid w:val="007A5539"/>
    <w:rsid w:val="00890782"/>
    <w:rsid w:val="008B7BE7"/>
    <w:rsid w:val="008E06DA"/>
    <w:rsid w:val="008E6748"/>
    <w:rsid w:val="008F0F3C"/>
    <w:rsid w:val="009002A1"/>
    <w:rsid w:val="009365C4"/>
    <w:rsid w:val="00957D59"/>
    <w:rsid w:val="00981019"/>
    <w:rsid w:val="009942EC"/>
    <w:rsid w:val="00997222"/>
    <w:rsid w:val="009D751F"/>
    <w:rsid w:val="00A043B6"/>
    <w:rsid w:val="00A064AD"/>
    <w:rsid w:val="00A13D49"/>
    <w:rsid w:val="00A16FF0"/>
    <w:rsid w:val="00A242B1"/>
    <w:rsid w:val="00A61733"/>
    <w:rsid w:val="00A62D37"/>
    <w:rsid w:val="00A63EC7"/>
    <w:rsid w:val="00AB6111"/>
    <w:rsid w:val="00AC0F1D"/>
    <w:rsid w:val="00AD6F70"/>
    <w:rsid w:val="00B06066"/>
    <w:rsid w:val="00B168E9"/>
    <w:rsid w:val="00B33545"/>
    <w:rsid w:val="00B370C5"/>
    <w:rsid w:val="00B53E11"/>
    <w:rsid w:val="00B82F9C"/>
    <w:rsid w:val="00B92832"/>
    <w:rsid w:val="00BA10C9"/>
    <w:rsid w:val="00BC0318"/>
    <w:rsid w:val="00BD42F8"/>
    <w:rsid w:val="00BD75C1"/>
    <w:rsid w:val="00BD78B1"/>
    <w:rsid w:val="00BF6B8E"/>
    <w:rsid w:val="00C1727D"/>
    <w:rsid w:val="00C328FB"/>
    <w:rsid w:val="00C4068C"/>
    <w:rsid w:val="00CA2E60"/>
    <w:rsid w:val="00CB4B7F"/>
    <w:rsid w:val="00CE442C"/>
    <w:rsid w:val="00CE72A8"/>
    <w:rsid w:val="00D00477"/>
    <w:rsid w:val="00D433FE"/>
    <w:rsid w:val="00D44E69"/>
    <w:rsid w:val="00D50443"/>
    <w:rsid w:val="00D87954"/>
    <w:rsid w:val="00DA72F6"/>
    <w:rsid w:val="00DC2842"/>
    <w:rsid w:val="00DC2EF5"/>
    <w:rsid w:val="00E03EEE"/>
    <w:rsid w:val="00E151F4"/>
    <w:rsid w:val="00E21D31"/>
    <w:rsid w:val="00E21FAF"/>
    <w:rsid w:val="00E26F60"/>
    <w:rsid w:val="00EB3270"/>
    <w:rsid w:val="00F10754"/>
    <w:rsid w:val="00F250AB"/>
    <w:rsid w:val="00FA0E66"/>
    <w:rsid w:val="00FC2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2A"/>
    <w:rPr>
      <w:sz w:val="22"/>
      <w:szCs w:val="22"/>
    </w:rPr>
  </w:style>
  <w:style w:type="paragraph" w:styleId="Heading4">
    <w:name w:val="heading 4"/>
    <w:basedOn w:val="Normal"/>
    <w:next w:val="Normal"/>
    <w:link w:val="Heading4Char"/>
    <w:uiPriority w:val="9"/>
    <w:semiHidden/>
    <w:unhideWhenUsed/>
    <w:qFormat/>
    <w:rsid w:val="00561D70"/>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a">
    <w:name w:val="Heading 4a"/>
    <w:basedOn w:val="Heading4"/>
    <w:uiPriority w:val="99"/>
    <w:rsid w:val="00561D70"/>
    <w:pPr>
      <w:numPr>
        <w:ilvl w:val="3"/>
        <w:numId w:val="1"/>
      </w:numPr>
      <w:spacing w:line="276" w:lineRule="auto"/>
    </w:pPr>
    <w:rPr>
      <w:i w:val="0"/>
    </w:rPr>
  </w:style>
  <w:style w:type="character" w:customStyle="1" w:styleId="Heading4Char">
    <w:name w:val="Heading 4 Char"/>
    <w:basedOn w:val="DefaultParagraphFont"/>
    <w:link w:val="Heading4"/>
    <w:uiPriority w:val="9"/>
    <w:semiHidden/>
    <w:rsid w:val="00561D70"/>
    <w:rPr>
      <w:rFonts w:ascii="Cambria" w:eastAsia="Times New Roman" w:hAnsi="Cambria" w:cs="Times New Roman"/>
      <w:b/>
      <w:bCs/>
      <w:i/>
      <w:iCs/>
      <w:color w:val="4F81BD"/>
    </w:rPr>
  </w:style>
  <w:style w:type="paragraph" w:styleId="BalloonText">
    <w:name w:val="Balloon Text"/>
    <w:basedOn w:val="Normal"/>
    <w:link w:val="BalloonTextChar"/>
    <w:uiPriority w:val="99"/>
    <w:semiHidden/>
    <w:unhideWhenUsed/>
    <w:rsid w:val="00561D70"/>
    <w:rPr>
      <w:rFonts w:ascii="Tahoma" w:hAnsi="Tahoma" w:cs="Tahoma"/>
      <w:sz w:val="16"/>
      <w:szCs w:val="16"/>
    </w:rPr>
  </w:style>
  <w:style w:type="character" w:customStyle="1" w:styleId="BalloonTextChar">
    <w:name w:val="Balloon Text Char"/>
    <w:basedOn w:val="DefaultParagraphFont"/>
    <w:link w:val="BalloonText"/>
    <w:uiPriority w:val="99"/>
    <w:semiHidden/>
    <w:rsid w:val="00561D70"/>
    <w:rPr>
      <w:rFonts w:ascii="Tahoma" w:hAnsi="Tahoma" w:cs="Tahoma"/>
      <w:sz w:val="16"/>
      <w:szCs w:val="16"/>
    </w:rPr>
  </w:style>
  <w:style w:type="table" w:styleId="TableGrid">
    <w:name w:val="Table Grid"/>
    <w:basedOn w:val="TableNormal"/>
    <w:uiPriority w:val="59"/>
    <w:rsid w:val="00BD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629081">
      <w:bodyDiv w:val="1"/>
      <w:marLeft w:val="0"/>
      <w:marRight w:val="0"/>
      <w:marTop w:val="0"/>
      <w:marBottom w:val="0"/>
      <w:divBdr>
        <w:top w:val="none" w:sz="0" w:space="0" w:color="auto"/>
        <w:left w:val="none" w:sz="0" w:space="0" w:color="auto"/>
        <w:bottom w:val="none" w:sz="0" w:space="0" w:color="auto"/>
        <w:right w:val="none" w:sz="0" w:space="0" w:color="auto"/>
      </w:divBdr>
    </w:div>
    <w:div w:id="375400257">
      <w:bodyDiv w:val="1"/>
      <w:marLeft w:val="0"/>
      <w:marRight w:val="0"/>
      <w:marTop w:val="0"/>
      <w:marBottom w:val="0"/>
      <w:divBdr>
        <w:top w:val="none" w:sz="0" w:space="0" w:color="auto"/>
        <w:left w:val="none" w:sz="0" w:space="0" w:color="auto"/>
        <w:bottom w:val="none" w:sz="0" w:space="0" w:color="auto"/>
        <w:right w:val="none" w:sz="0" w:space="0" w:color="auto"/>
      </w:divBdr>
    </w:div>
    <w:div w:id="504367146">
      <w:bodyDiv w:val="1"/>
      <w:marLeft w:val="0"/>
      <w:marRight w:val="0"/>
      <w:marTop w:val="0"/>
      <w:marBottom w:val="0"/>
      <w:divBdr>
        <w:top w:val="none" w:sz="0" w:space="0" w:color="auto"/>
        <w:left w:val="none" w:sz="0" w:space="0" w:color="auto"/>
        <w:bottom w:val="none" w:sz="0" w:space="0" w:color="auto"/>
        <w:right w:val="none" w:sz="0" w:space="0" w:color="auto"/>
      </w:divBdr>
    </w:div>
    <w:div w:id="615134972">
      <w:bodyDiv w:val="1"/>
      <w:marLeft w:val="0"/>
      <w:marRight w:val="0"/>
      <w:marTop w:val="0"/>
      <w:marBottom w:val="0"/>
      <w:divBdr>
        <w:top w:val="none" w:sz="0" w:space="0" w:color="auto"/>
        <w:left w:val="none" w:sz="0" w:space="0" w:color="auto"/>
        <w:bottom w:val="none" w:sz="0" w:space="0" w:color="auto"/>
        <w:right w:val="none" w:sz="0" w:space="0" w:color="auto"/>
      </w:divBdr>
    </w:div>
    <w:div w:id="1136294710">
      <w:bodyDiv w:val="1"/>
      <w:marLeft w:val="0"/>
      <w:marRight w:val="0"/>
      <w:marTop w:val="0"/>
      <w:marBottom w:val="0"/>
      <w:divBdr>
        <w:top w:val="none" w:sz="0" w:space="0" w:color="auto"/>
        <w:left w:val="none" w:sz="0" w:space="0" w:color="auto"/>
        <w:bottom w:val="none" w:sz="0" w:space="0" w:color="auto"/>
        <w:right w:val="none" w:sz="0" w:space="0" w:color="auto"/>
      </w:divBdr>
    </w:div>
    <w:div w:id="1292201208">
      <w:bodyDiv w:val="1"/>
      <w:marLeft w:val="0"/>
      <w:marRight w:val="0"/>
      <w:marTop w:val="0"/>
      <w:marBottom w:val="0"/>
      <w:divBdr>
        <w:top w:val="none" w:sz="0" w:space="0" w:color="auto"/>
        <w:left w:val="none" w:sz="0" w:space="0" w:color="auto"/>
        <w:bottom w:val="none" w:sz="0" w:space="0" w:color="auto"/>
        <w:right w:val="none" w:sz="0" w:space="0" w:color="auto"/>
      </w:divBdr>
    </w:div>
    <w:div w:id="1354571106">
      <w:bodyDiv w:val="1"/>
      <w:marLeft w:val="0"/>
      <w:marRight w:val="0"/>
      <w:marTop w:val="0"/>
      <w:marBottom w:val="0"/>
      <w:divBdr>
        <w:top w:val="none" w:sz="0" w:space="0" w:color="auto"/>
        <w:left w:val="none" w:sz="0" w:space="0" w:color="auto"/>
        <w:bottom w:val="none" w:sz="0" w:space="0" w:color="auto"/>
        <w:right w:val="none" w:sz="0" w:space="0" w:color="auto"/>
      </w:divBdr>
    </w:div>
    <w:div w:id="1412043359">
      <w:bodyDiv w:val="1"/>
      <w:marLeft w:val="0"/>
      <w:marRight w:val="0"/>
      <w:marTop w:val="0"/>
      <w:marBottom w:val="0"/>
      <w:divBdr>
        <w:top w:val="none" w:sz="0" w:space="0" w:color="auto"/>
        <w:left w:val="none" w:sz="0" w:space="0" w:color="auto"/>
        <w:bottom w:val="none" w:sz="0" w:space="0" w:color="auto"/>
        <w:right w:val="none" w:sz="0" w:space="0" w:color="auto"/>
      </w:divBdr>
    </w:div>
    <w:div w:id="1423528131">
      <w:bodyDiv w:val="1"/>
      <w:marLeft w:val="0"/>
      <w:marRight w:val="0"/>
      <w:marTop w:val="0"/>
      <w:marBottom w:val="0"/>
      <w:divBdr>
        <w:top w:val="none" w:sz="0" w:space="0" w:color="auto"/>
        <w:left w:val="none" w:sz="0" w:space="0" w:color="auto"/>
        <w:bottom w:val="none" w:sz="0" w:space="0" w:color="auto"/>
        <w:right w:val="none" w:sz="0" w:space="0" w:color="auto"/>
      </w:divBdr>
    </w:div>
    <w:div w:id="1444494811">
      <w:bodyDiv w:val="1"/>
      <w:marLeft w:val="0"/>
      <w:marRight w:val="0"/>
      <w:marTop w:val="0"/>
      <w:marBottom w:val="0"/>
      <w:divBdr>
        <w:top w:val="none" w:sz="0" w:space="0" w:color="auto"/>
        <w:left w:val="none" w:sz="0" w:space="0" w:color="auto"/>
        <w:bottom w:val="none" w:sz="0" w:space="0" w:color="auto"/>
        <w:right w:val="none" w:sz="0" w:space="0" w:color="auto"/>
      </w:divBdr>
    </w:div>
    <w:div w:id="1794253486">
      <w:bodyDiv w:val="1"/>
      <w:marLeft w:val="0"/>
      <w:marRight w:val="0"/>
      <w:marTop w:val="0"/>
      <w:marBottom w:val="0"/>
      <w:divBdr>
        <w:top w:val="none" w:sz="0" w:space="0" w:color="auto"/>
        <w:left w:val="none" w:sz="0" w:space="0" w:color="auto"/>
        <w:bottom w:val="none" w:sz="0" w:space="0" w:color="auto"/>
        <w:right w:val="none" w:sz="0" w:space="0" w:color="auto"/>
      </w:divBdr>
    </w:div>
    <w:div w:id="1914967956">
      <w:bodyDiv w:val="1"/>
      <w:marLeft w:val="0"/>
      <w:marRight w:val="0"/>
      <w:marTop w:val="0"/>
      <w:marBottom w:val="0"/>
      <w:divBdr>
        <w:top w:val="none" w:sz="0" w:space="0" w:color="auto"/>
        <w:left w:val="none" w:sz="0" w:space="0" w:color="auto"/>
        <w:bottom w:val="none" w:sz="0" w:space="0" w:color="auto"/>
        <w:right w:val="none" w:sz="0" w:space="0" w:color="auto"/>
      </w:divBdr>
    </w:div>
    <w:div w:id="2087259879">
      <w:bodyDiv w:val="1"/>
      <w:marLeft w:val="0"/>
      <w:marRight w:val="0"/>
      <w:marTop w:val="0"/>
      <w:marBottom w:val="0"/>
      <w:divBdr>
        <w:top w:val="none" w:sz="0" w:space="0" w:color="auto"/>
        <w:left w:val="none" w:sz="0" w:space="0" w:color="auto"/>
        <w:bottom w:val="none" w:sz="0" w:space="0" w:color="auto"/>
        <w:right w:val="none" w:sz="0" w:space="0" w:color="auto"/>
      </w:divBdr>
    </w:div>
    <w:div w:id="21183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lyson\Desktop\Cash%20Flow%20SSES%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'Baseline CF chart'!$A$7</c:f>
              <c:strCache>
                <c:ptCount val="1"/>
                <c:pt idx="0">
                  <c:v>Yearly Net Cash</c:v>
                </c:pt>
              </c:strCache>
            </c:strRef>
          </c:tx>
          <c:marker>
            <c:symbol val="none"/>
          </c:marker>
          <c:cat>
            <c:strRef>
              <c:f>'Baseline CF chart'!$B$6:$K$6</c:f>
              <c:strCache>
                <c:ptCount val="10"/>
                <c:pt idx="0">
                  <c:v>Period 1</c:v>
                </c:pt>
                <c:pt idx="1">
                  <c:v>Period 2</c:v>
                </c:pt>
                <c:pt idx="2">
                  <c:v>Period 3</c:v>
                </c:pt>
                <c:pt idx="3">
                  <c:v>Period 4</c:v>
                </c:pt>
                <c:pt idx="4">
                  <c:v>Period 5</c:v>
                </c:pt>
                <c:pt idx="5">
                  <c:v>Period 6</c:v>
                </c:pt>
                <c:pt idx="6">
                  <c:v>Period 7</c:v>
                </c:pt>
                <c:pt idx="7">
                  <c:v>Period 8</c:v>
                </c:pt>
                <c:pt idx="8">
                  <c:v>Period 9</c:v>
                </c:pt>
                <c:pt idx="9">
                  <c:v>Period 10</c:v>
                </c:pt>
              </c:strCache>
            </c:strRef>
          </c:cat>
          <c:val>
            <c:numRef>
              <c:f>'Baseline CF chart'!$B$7:$K$7</c:f>
              <c:numCache>
                <c:formatCode>#,##0.00_);[Red]\(#,##0.00\)</c:formatCode>
                <c:ptCount val="10"/>
                <c:pt idx="0">
                  <c:v>-648312.5</c:v>
                </c:pt>
                <c:pt idx="1">
                  <c:v>-39968.75</c:v>
                </c:pt>
                <c:pt idx="2">
                  <c:v>85046.875000000087</c:v>
                </c:pt>
                <c:pt idx="3">
                  <c:v>267084.375</c:v>
                </c:pt>
                <c:pt idx="4">
                  <c:v>807151.875</c:v>
                </c:pt>
                <c:pt idx="5">
                  <c:v>1779273.375</c:v>
                </c:pt>
                <c:pt idx="6">
                  <c:v>3819546.75</c:v>
                </c:pt>
                <c:pt idx="7">
                  <c:v>8198093.5</c:v>
                </c:pt>
                <c:pt idx="8">
                  <c:v>16947337</c:v>
                </c:pt>
                <c:pt idx="9">
                  <c:v>34445524</c:v>
                </c:pt>
              </c:numCache>
            </c:numRef>
          </c:val>
        </c:ser>
        <c:ser>
          <c:idx val="1"/>
          <c:order val="1"/>
          <c:tx>
            <c:strRef>
              <c:f>'Baseline CF chart'!$A$8</c:f>
              <c:strCache>
                <c:ptCount val="1"/>
                <c:pt idx="0">
                  <c:v>Cumulative Net Cashflow</c:v>
                </c:pt>
              </c:strCache>
            </c:strRef>
          </c:tx>
          <c:spPr>
            <a:ln>
              <a:solidFill>
                <a:schemeClr val="tx1"/>
              </a:solidFill>
            </a:ln>
          </c:spPr>
          <c:marker>
            <c:symbol val="none"/>
          </c:marker>
          <c:cat>
            <c:strRef>
              <c:f>'Baseline CF chart'!$B$6:$K$6</c:f>
              <c:strCache>
                <c:ptCount val="10"/>
                <c:pt idx="0">
                  <c:v>Period 1</c:v>
                </c:pt>
                <c:pt idx="1">
                  <c:v>Period 2</c:v>
                </c:pt>
                <c:pt idx="2">
                  <c:v>Period 3</c:v>
                </c:pt>
                <c:pt idx="3">
                  <c:v>Period 4</c:v>
                </c:pt>
                <c:pt idx="4">
                  <c:v>Period 5</c:v>
                </c:pt>
                <c:pt idx="5">
                  <c:v>Period 6</c:v>
                </c:pt>
                <c:pt idx="6">
                  <c:v>Period 7</c:v>
                </c:pt>
                <c:pt idx="7">
                  <c:v>Period 8</c:v>
                </c:pt>
                <c:pt idx="8">
                  <c:v>Period 9</c:v>
                </c:pt>
                <c:pt idx="9">
                  <c:v>Period 10</c:v>
                </c:pt>
              </c:strCache>
            </c:strRef>
          </c:cat>
          <c:val>
            <c:numRef>
              <c:f>'Baseline CF chart'!$B$8:$K$8</c:f>
              <c:numCache>
                <c:formatCode>#,##0.00_);[Red]\(#,##0.00\)</c:formatCode>
                <c:ptCount val="10"/>
                <c:pt idx="0">
                  <c:v>-648312.5</c:v>
                </c:pt>
                <c:pt idx="1">
                  <c:v>-688281.25</c:v>
                </c:pt>
                <c:pt idx="2">
                  <c:v>-603234.375</c:v>
                </c:pt>
                <c:pt idx="3">
                  <c:v>-336150</c:v>
                </c:pt>
                <c:pt idx="4">
                  <c:v>471001.875</c:v>
                </c:pt>
                <c:pt idx="5">
                  <c:v>2250275.25</c:v>
                </c:pt>
                <c:pt idx="6">
                  <c:v>6069822</c:v>
                </c:pt>
                <c:pt idx="7">
                  <c:v>14267915.5</c:v>
                </c:pt>
                <c:pt idx="8">
                  <c:v>31215252.5</c:v>
                </c:pt>
                <c:pt idx="9">
                  <c:v>65660776.5</c:v>
                </c:pt>
              </c:numCache>
            </c:numRef>
          </c:val>
        </c:ser>
        <c:ser>
          <c:idx val="2"/>
          <c:order val="2"/>
          <c:tx>
            <c:strRef>
              <c:f>'Baseline CF chart'!$A$9</c:f>
              <c:strCache>
                <c:ptCount val="1"/>
                <c:pt idx="0">
                  <c:v>Baseline NPV</c:v>
                </c:pt>
              </c:strCache>
            </c:strRef>
          </c:tx>
          <c:marker>
            <c:symbol val="none"/>
          </c:marker>
          <c:cat>
            <c:strRef>
              <c:f>'Baseline CF chart'!$B$6:$K$6</c:f>
              <c:strCache>
                <c:ptCount val="10"/>
                <c:pt idx="0">
                  <c:v>Period 1</c:v>
                </c:pt>
                <c:pt idx="1">
                  <c:v>Period 2</c:v>
                </c:pt>
                <c:pt idx="2">
                  <c:v>Period 3</c:v>
                </c:pt>
                <c:pt idx="3">
                  <c:v>Period 4</c:v>
                </c:pt>
                <c:pt idx="4">
                  <c:v>Period 5</c:v>
                </c:pt>
                <c:pt idx="5">
                  <c:v>Period 6</c:v>
                </c:pt>
                <c:pt idx="6">
                  <c:v>Period 7</c:v>
                </c:pt>
                <c:pt idx="7">
                  <c:v>Period 8</c:v>
                </c:pt>
                <c:pt idx="8">
                  <c:v>Period 9</c:v>
                </c:pt>
                <c:pt idx="9">
                  <c:v>Period 10</c:v>
                </c:pt>
              </c:strCache>
            </c:strRef>
          </c:cat>
          <c:val>
            <c:numRef>
              <c:f>'Baseline CF chart'!$B$9:$K$9</c:f>
              <c:numCache>
                <c:formatCode>#,##0.00_);[Red]\(#,##0.00\)</c:formatCode>
                <c:ptCount val="10"/>
                <c:pt idx="0">
                  <c:v>-589375</c:v>
                </c:pt>
                <c:pt idx="1">
                  <c:v>-622407.02479338832</c:v>
                </c:pt>
                <c:pt idx="2">
                  <c:v>-558510.04883546242</c:v>
                </c:pt>
                <c:pt idx="3">
                  <c:v>-376087.82699269184</c:v>
                </c:pt>
                <c:pt idx="4">
                  <c:v>125089.98314198572</c:v>
                </c:pt>
                <c:pt idx="5">
                  <c:v>1129443.4177682835</c:v>
                </c:pt>
                <c:pt idx="6">
                  <c:v>3089474.8404924907</c:v>
                </c:pt>
                <c:pt idx="7">
                  <c:v>6913945.9618919315</c:v>
                </c:pt>
                <c:pt idx="8">
                  <c:v>14101271.2213478</c:v>
                </c:pt>
                <c:pt idx="9">
                  <c:v>27381511.850431696</c:v>
                </c:pt>
              </c:numCache>
            </c:numRef>
          </c:val>
        </c:ser>
        <c:marker val="1"/>
        <c:axId val="70812800"/>
        <c:axId val="70814336"/>
      </c:lineChart>
      <c:catAx>
        <c:axId val="70812800"/>
        <c:scaling>
          <c:orientation val="minMax"/>
        </c:scaling>
        <c:axPos val="b"/>
        <c:tickLblPos val="nextTo"/>
        <c:crossAx val="70814336"/>
        <c:crosses val="autoZero"/>
        <c:auto val="1"/>
        <c:lblAlgn val="ctr"/>
        <c:lblOffset val="100"/>
      </c:catAx>
      <c:valAx>
        <c:axId val="70814336"/>
        <c:scaling>
          <c:orientation val="minMax"/>
        </c:scaling>
        <c:axPos val="l"/>
        <c:majorGridlines/>
        <c:numFmt formatCode="#,##0.00_);[Red]\(#,##0.00\)" sourceLinked="1"/>
        <c:tickLblPos val="nextTo"/>
        <c:crossAx val="708128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11B1-A978-41E0-8B30-2349C232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cp:lastModifiedBy>Joseph M. Shaw</cp:lastModifiedBy>
  <cp:revision>3</cp:revision>
  <cp:lastPrinted>2009-04-29T16:57:00Z</cp:lastPrinted>
  <dcterms:created xsi:type="dcterms:W3CDTF">2009-05-10T04:58:00Z</dcterms:created>
  <dcterms:modified xsi:type="dcterms:W3CDTF">2009-05-10T20:27:00Z</dcterms:modified>
</cp:coreProperties>
</file>